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0" w:lineRule="atLeast"/>
        <w:rPr>
          <w:rFonts w:hint="eastAsia" w:ascii="宋体" w:cs="Arial"/>
          <w:b/>
          <w:color w:val="000000"/>
          <w:spacing w:val="10"/>
          <w:kern w:val="0"/>
          <w:sz w:val="28"/>
          <w:szCs w:val="28"/>
        </w:rPr>
      </w:pPr>
      <w:r>
        <w:rPr>
          <w:rFonts w:hint="eastAsia" w:ascii="宋体" w:hAnsi="宋体" w:cs="Arial"/>
          <w:b/>
          <w:color w:val="000000"/>
          <w:spacing w:val="10"/>
          <w:kern w:val="0"/>
          <w:sz w:val="28"/>
          <w:szCs w:val="28"/>
        </w:rPr>
        <w:t>附件2</w:t>
      </w:r>
    </w:p>
    <w:p>
      <w:pPr>
        <w:pStyle w:val="2"/>
        <w:spacing w:before="0" w:after="0" w:line="560" w:lineRule="exact"/>
        <w:jc w:val="center"/>
        <w:rPr>
          <w:rFonts w:hint="eastAsia"/>
          <w:kern w:val="0"/>
        </w:rPr>
      </w:pPr>
      <w:bookmarkStart w:id="0" w:name="_GoBack"/>
      <w:r>
        <w:rPr>
          <w:rFonts w:hint="eastAsia"/>
          <w:kern w:val="0"/>
        </w:rPr>
        <w:t>《生产安全事故报告和调查处理条例》</w:t>
      </w:r>
    </w:p>
    <w:p>
      <w:pPr>
        <w:pStyle w:val="2"/>
        <w:spacing w:before="0" w:after="0" w:line="560" w:lineRule="exact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（国务院令</w:t>
      </w:r>
      <w:r>
        <w:rPr>
          <w:kern w:val="0"/>
        </w:rPr>
        <w:t>493</w:t>
      </w:r>
      <w:r>
        <w:rPr>
          <w:rFonts w:hint="eastAsia"/>
          <w:kern w:val="0"/>
        </w:rPr>
        <w:t>号）规定的安全事故等级</w:t>
      </w:r>
    </w:p>
    <w:p>
      <w:pPr>
        <w:rPr>
          <w:rFonts w:eastAsia="仿宋_GB2312"/>
          <w:sz w:val="32"/>
          <w:szCs w:val="32"/>
        </w:rPr>
      </w:pPr>
    </w:p>
    <w:bookmarkEnd w:id="0"/>
    <w:p>
      <w:pPr>
        <w:widowControl/>
        <w:spacing w:line="200" w:lineRule="atLeast"/>
        <w:jc w:val="left"/>
        <w:rPr>
          <w:rFonts w:eastAsia="仿宋_GB2312"/>
          <w:color w:val="000000"/>
          <w:spacing w:val="10"/>
          <w:kern w:val="0"/>
          <w:sz w:val="32"/>
          <w:szCs w:val="32"/>
        </w:rPr>
      </w:pPr>
      <w:r>
        <w:rPr>
          <w:rFonts w:eastAsia="仿宋_GB2312"/>
          <w:color w:val="000000"/>
          <w:spacing w:val="10"/>
          <w:kern w:val="0"/>
          <w:sz w:val="32"/>
          <w:szCs w:val="32"/>
        </w:rPr>
        <w:t>第三条　根据生产安全事故（以下简称事故）造成的人员伤亡或者直接经济损失，事故一般分为以下等级：</w:t>
      </w:r>
    </w:p>
    <w:p>
      <w:pPr>
        <w:widowControl/>
        <w:spacing w:line="200" w:lineRule="atLeast"/>
        <w:jc w:val="left"/>
        <w:rPr>
          <w:rFonts w:eastAsia="仿宋_GB2312"/>
          <w:color w:val="000000"/>
          <w:spacing w:val="10"/>
          <w:kern w:val="0"/>
          <w:sz w:val="32"/>
          <w:szCs w:val="32"/>
        </w:rPr>
      </w:pPr>
      <w:r>
        <w:rPr>
          <w:rFonts w:eastAsia="仿宋_GB2312"/>
          <w:color w:val="000000"/>
          <w:spacing w:val="10"/>
          <w:kern w:val="0"/>
          <w:sz w:val="32"/>
          <w:szCs w:val="32"/>
        </w:rPr>
        <w:t>　　（一）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HYPERLINK "http://baike.baidu.com/view/2455608.htm" \t "_blank"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color w:val="000000"/>
          <w:spacing w:val="10"/>
          <w:kern w:val="0"/>
          <w:sz w:val="32"/>
          <w:szCs w:val="32"/>
        </w:rPr>
        <w:t>特别重大事故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color w:val="000000"/>
          <w:spacing w:val="10"/>
          <w:kern w:val="0"/>
          <w:sz w:val="32"/>
          <w:szCs w:val="32"/>
        </w:rPr>
        <w:t>，是指造成30人以上死亡，或者100人以上重伤（包括急性工业中毒，下同），或者1亿元以上直接经济损失的事故；</w:t>
      </w:r>
    </w:p>
    <w:p>
      <w:pPr>
        <w:widowControl/>
        <w:spacing w:line="200" w:lineRule="atLeast"/>
        <w:jc w:val="left"/>
        <w:rPr>
          <w:rFonts w:eastAsia="仿宋_GB2312"/>
          <w:color w:val="000000"/>
          <w:spacing w:val="10"/>
          <w:kern w:val="0"/>
          <w:sz w:val="32"/>
          <w:szCs w:val="32"/>
        </w:rPr>
      </w:pPr>
      <w:r>
        <w:rPr>
          <w:rFonts w:eastAsia="仿宋_GB2312"/>
          <w:color w:val="000000"/>
          <w:spacing w:val="10"/>
          <w:kern w:val="0"/>
          <w:sz w:val="32"/>
          <w:szCs w:val="32"/>
        </w:rPr>
        <w:t>　　（二）重大事故，是指造成10人以上30人以下死亡，或者50人以上100人以下重伤，或者5000万元以上1亿元以下直接经济损失的事故；</w:t>
      </w:r>
    </w:p>
    <w:p>
      <w:pPr>
        <w:widowControl/>
        <w:spacing w:line="200" w:lineRule="atLeast"/>
        <w:jc w:val="left"/>
        <w:rPr>
          <w:rFonts w:eastAsia="仿宋_GB2312"/>
          <w:color w:val="000000"/>
          <w:spacing w:val="10"/>
          <w:kern w:val="0"/>
          <w:sz w:val="32"/>
          <w:szCs w:val="32"/>
        </w:rPr>
      </w:pPr>
      <w:r>
        <w:rPr>
          <w:rFonts w:eastAsia="仿宋_GB2312"/>
          <w:color w:val="000000"/>
          <w:spacing w:val="10"/>
          <w:kern w:val="0"/>
          <w:sz w:val="32"/>
          <w:szCs w:val="32"/>
        </w:rPr>
        <w:t>　　（三）较大事故，是指造成3人以上10人以下死亡，或者10人以上50人以下重伤，或者1000万元以上5000万元以下直接经济损失的事故；</w:t>
      </w:r>
    </w:p>
    <w:p>
      <w:pPr>
        <w:spacing w:line="200" w:lineRule="atLeast"/>
        <w:ind w:firstLine="600"/>
        <w:rPr>
          <w:rFonts w:eastAsia="仿宋_GB2312"/>
          <w:color w:val="000000"/>
          <w:spacing w:val="10"/>
          <w:kern w:val="0"/>
          <w:sz w:val="32"/>
          <w:szCs w:val="32"/>
        </w:rPr>
      </w:pPr>
      <w:r>
        <w:rPr>
          <w:rFonts w:eastAsia="仿宋_GB2312"/>
          <w:color w:val="000000"/>
          <w:spacing w:val="10"/>
          <w:kern w:val="0"/>
          <w:sz w:val="32"/>
          <w:szCs w:val="32"/>
        </w:rPr>
        <w:t>（四）一般事故，是指造成3人以下死亡，或者10人以下重伤，或者1000万元以下直接经济损失的事故。</w:t>
      </w:r>
    </w:p>
    <w:p>
      <w:pPr>
        <w:spacing w:line="200" w:lineRule="atLeast"/>
        <w:ind w:firstLine="600"/>
        <w:rPr>
          <w:rFonts w:ascii="宋体" w:cs="Arial"/>
          <w:color w:val="000000"/>
          <w:spacing w:val="10"/>
          <w:kern w:val="0"/>
          <w:sz w:val="28"/>
          <w:szCs w:val="28"/>
        </w:rPr>
      </w:pPr>
    </w:p>
    <w:p>
      <w:pPr>
        <w:widowControl/>
        <w:spacing w:line="200" w:lineRule="atLeast"/>
        <w:rPr>
          <w:rFonts w:hint="eastAsia" w:ascii="宋体" w:hAnsi="宋体" w:cs="Arial"/>
          <w:b/>
          <w:color w:val="000000"/>
          <w:spacing w:val="10"/>
          <w:kern w:val="0"/>
          <w:sz w:val="28"/>
          <w:szCs w:val="28"/>
        </w:rPr>
      </w:pPr>
    </w:p>
    <w:p>
      <w:pPr>
        <w:widowControl/>
        <w:spacing w:line="200" w:lineRule="atLeast"/>
        <w:rPr>
          <w:rFonts w:hint="eastAsia" w:ascii="宋体" w:hAnsi="宋体" w:cs="Arial"/>
          <w:b/>
          <w:color w:val="000000"/>
          <w:spacing w:val="1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30527"/>
    <w:rsid w:val="11430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2018-03-14T03:42:00Z</dcterms:created>
  <dc:creator>lym</dc:creator>
  <cp:lastModifiedBy>lym</cp:lastModifiedBy>
  <dcterms:modified xsi:type="dcterms:W3CDTF">2018-03-14T03:43:05Z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