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00" w:lineRule="atLeast"/>
        <w:rPr>
          <w:rFonts w:hint="eastAsia" w:ascii="宋体" w:hAnsi="宋体" w:cs="Arial"/>
          <w:b/>
          <w:color w:val="000000"/>
          <w:spacing w:val="10"/>
          <w:kern w:val="0"/>
          <w:sz w:val="28"/>
          <w:szCs w:val="28"/>
        </w:rPr>
      </w:pPr>
      <w:r>
        <w:rPr>
          <w:rFonts w:hint="eastAsia" w:ascii="宋体" w:hAnsi="宋体" w:cs="Arial"/>
          <w:b/>
          <w:color w:val="000000"/>
          <w:spacing w:val="10"/>
          <w:kern w:val="0"/>
          <w:sz w:val="28"/>
          <w:szCs w:val="28"/>
        </w:rPr>
        <w:t>附件3</w:t>
      </w:r>
    </w:p>
    <w:p>
      <w:pPr>
        <w:pStyle w:val="2"/>
        <w:spacing w:before="0" w:after="0" w:line="560" w:lineRule="exact"/>
        <w:jc w:val="center"/>
        <w:rPr>
          <w:kern w:val="36"/>
        </w:rPr>
      </w:pPr>
      <w:r>
        <w:rPr>
          <w:rFonts w:hint="eastAsia"/>
          <w:kern w:val="36"/>
        </w:rPr>
        <w:t>《关于做好房屋建筑和市政基础设施工程质量事故报告和调查处理工作的通知》</w:t>
      </w:r>
    </w:p>
    <w:p>
      <w:pPr>
        <w:pStyle w:val="2"/>
        <w:spacing w:before="0" w:after="0" w:line="560" w:lineRule="exact"/>
        <w:jc w:val="center"/>
        <w:rPr>
          <w:rFonts w:hint="eastAsia"/>
          <w:kern w:val="0"/>
        </w:rPr>
      </w:pPr>
      <w:r>
        <w:rPr>
          <w:rFonts w:hint="eastAsia"/>
          <w:kern w:val="36"/>
        </w:rPr>
        <w:t>（</w:t>
      </w:r>
      <w:r>
        <w:rPr>
          <w:rFonts w:hint="eastAsia"/>
          <w:kern w:val="0"/>
        </w:rPr>
        <w:t>建质</w:t>
      </w:r>
      <w:r>
        <w:rPr>
          <w:kern w:val="0"/>
        </w:rPr>
        <w:t>[2010]111</w:t>
      </w:r>
      <w:r>
        <w:rPr>
          <w:rFonts w:hint="eastAsia"/>
          <w:kern w:val="0"/>
        </w:rPr>
        <w:t>号）规定的质量事故等级</w:t>
      </w:r>
    </w:p>
    <w:p>
      <w:pPr>
        <w:rPr>
          <w:rFonts w:hint="eastAsia"/>
        </w:rPr>
      </w:pPr>
    </w:p>
    <w:p>
      <w:pPr>
        <w:widowControl/>
        <w:spacing w:line="200" w:lineRule="atLeast"/>
        <w:jc w:val="left"/>
        <w:rPr>
          <w:rFonts w:eastAsia="仿宋_GB2312"/>
          <w:kern w:val="0"/>
          <w:sz w:val="32"/>
          <w:szCs w:val="32"/>
        </w:rPr>
      </w:pPr>
      <w:r>
        <w:rPr>
          <w:rFonts w:hint="eastAsia" w:ascii="宋体" w:hAnsi="宋体" w:cs="宋体"/>
          <w:b/>
          <w:bCs/>
          <w:kern w:val="0"/>
          <w:sz w:val="28"/>
          <w:szCs w:val="28"/>
        </w:rPr>
        <w:t>　　</w:t>
      </w:r>
      <w:r>
        <w:rPr>
          <w:rFonts w:eastAsia="仿宋_GB2312"/>
          <w:b/>
          <w:bCs/>
          <w:kern w:val="0"/>
          <w:sz w:val="32"/>
          <w:szCs w:val="32"/>
        </w:rPr>
        <w:t xml:space="preserve"> 二、事故等级划分</w:t>
      </w:r>
    </w:p>
    <w:p>
      <w:pPr>
        <w:widowControl/>
        <w:spacing w:line="200" w:lineRule="atLeast"/>
        <w:jc w:val="left"/>
        <w:rPr>
          <w:rFonts w:eastAsia="仿宋_GB2312"/>
          <w:kern w:val="0"/>
          <w:sz w:val="32"/>
          <w:szCs w:val="32"/>
        </w:rPr>
      </w:pPr>
      <w:r>
        <w:rPr>
          <w:rFonts w:eastAsia="仿宋_GB2312"/>
          <w:kern w:val="0"/>
          <w:sz w:val="32"/>
          <w:szCs w:val="32"/>
        </w:rPr>
        <w:t>　　 根据工程质量事故造成的人员伤亡或者直接经济损失，工程质量事故分为4个等级：</w:t>
      </w:r>
    </w:p>
    <w:p>
      <w:pPr>
        <w:widowControl/>
        <w:spacing w:line="200" w:lineRule="atLeast"/>
        <w:jc w:val="left"/>
        <w:rPr>
          <w:rFonts w:eastAsia="仿宋_GB2312"/>
          <w:kern w:val="0"/>
          <w:sz w:val="32"/>
          <w:szCs w:val="32"/>
        </w:rPr>
      </w:pPr>
      <w:r>
        <w:rPr>
          <w:rFonts w:eastAsia="仿宋_GB2312"/>
          <w:kern w:val="0"/>
          <w:sz w:val="32"/>
          <w:szCs w:val="32"/>
        </w:rPr>
        <w:t>　　 （一）特别重大事故，是指造成30人以上死亡，或者100人以上重伤，或者1亿元以上直接经济损失的事故；</w:t>
      </w:r>
    </w:p>
    <w:p>
      <w:pPr>
        <w:widowControl/>
        <w:spacing w:line="200" w:lineRule="atLeast"/>
        <w:jc w:val="left"/>
        <w:rPr>
          <w:rFonts w:eastAsia="仿宋_GB2312"/>
          <w:kern w:val="0"/>
          <w:sz w:val="32"/>
          <w:szCs w:val="32"/>
        </w:rPr>
      </w:pPr>
      <w:r>
        <w:rPr>
          <w:rFonts w:eastAsia="仿宋_GB2312"/>
          <w:kern w:val="0"/>
          <w:sz w:val="32"/>
          <w:szCs w:val="32"/>
        </w:rPr>
        <w:t>　　 （二）重大事故，是指造成10人以上30人以下死亡，或者50人以上100人以下重伤，或者5000万元以上1亿元以下直接经济损失的事故；</w:t>
      </w:r>
    </w:p>
    <w:p>
      <w:pPr>
        <w:widowControl/>
        <w:spacing w:line="200" w:lineRule="atLeast"/>
        <w:jc w:val="left"/>
        <w:rPr>
          <w:rFonts w:eastAsia="仿宋_GB2312"/>
          <w:kern w:val="0"/>
          <w:sz w:val="32"/>
          <w:szCs w:val="32"/>
        </w:rPr>
      </w:pPr>
      <w:r>
        <w:rPr>
          <w:rFonts w:eastAsia="仿宋_GB2312"/>
          <w:kern w:val="0"/>
          <w:sz w:val="32"/>
          <w:szCs w:val="32"/>
        </w:rPr>
        <w:t>　　 （三）较大事故，是指造成3人以上10人以下死亡，或者10人以上50人以下重伤，或者1000万元以上5000万元以下直接经济损失的事故；</w:t>
      </w:r>
    </w:p>
    <w:p>
      <w:pPr>
        <w:widowControl/>
        <w:spacing w:line="200" w:lineRule="atLeast"/>
        <w:jc w:val="left"/>
        <w:rPr>
          <w:rFonts w:eastAsia="仿宋_GB2312"/>
          <w:kern w:val="0"/>
          <w:sz w:val="32"/>
          <w:szCs w:val="32"/>
        </w:rPr>
      </w:pPr>
      <w:r>
        <w:rPr>
          <w:rFonts w:eastAsia="仿宋_GB2312"/>
          <w:kern w:val="0"/>
          <w:sz w:val="32"/>
          <w:szCs w:val="32"/>
        </w:rPr>
        <w:t>　　 （四）一般事故，是指造成3人以下死亡，或者10人以下重伤，或者100万元以上1000万元以下直接经济损失的事故。</w:t>
      </w:r>
    </w:p>
    <w:p>
      <w:pPr>
        <w:widowControl/>
        <w:spacing w:line="200" w:lineRule="atLeast"/>
        <w:jc w:val="left"/>
        <w:rPr>
          <w:rFonts w:eastAsia="仿宋_GB2312"/>
          <w:sz w:val="32"/>
          <w:szCs w:val="32"/>
        </w:rPr>
      </w:pPr>
      <w:r>
        <w:rPr>
          <w:rFonts w:eastAsia="仿宋_GB2312"/>
          <w:kern w:val="0"/>
          <w:sz w:val="32"/>
          <w:szCs w:val="32"/>
        </w:rPr>
        <w:t>　　 本等级划分所称的“以上”包括本数，所称的“以下”不包括本数。</w:t>
      </w:r>
      <w:r>
        <w:rPr>
          <w:rFonts w:eastAsia="仿宋_GB2312"/>
          <w:sz w:val="32"/>
          <w:szCs w:val="32"/>
        </w:rPr>
        <w:t>　　</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73C1"/>
    <w:rsid w:val="255E7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2018-03-14T03:41:00Z</dcterms:created>
  <dc:creator>lym</dc:creator>
  <cp:lastModifiedBy>lym</cp:lastModifiedBy>
  <dcterms:modified xsi:type="dcterms:W3CDTF">2018-03-14T03:42:00Z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