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C9" w:rsidRDefault="002C0DC9">
      <w:pPr>
        <w:rPr>
          <w:rFonts w:ascii="方正大标宋_GBK" w:eastAsia="方正大标宋_GBK" w:hAnsi="宋体" w:cs="宋体"/>
          <w:kern w:val="0"/>
          <w:sz w:val="32"/>
          <w:szCs w:val="32"/>
        </w:rPr>
      </w:pPr>
      <w:r w:rsidRPr="002C0DC9">
        <w:rPr>
          <w:rFonts w:ascii="方正大标宋_GBK" w:eastAsia="方正大标宋_GBK" w:hAnsi="宋体" w:cs="宋体" w:hint="eastAsia"/>
          <w:kern w:val="0"/>
          <w:sz w:val="32"/>
          <w:szCs w:val="32"/>
        </w:rPr>
        <w:t>附件</w:t>
      </w:r>
    </w:p>
    <w:p w:rsidR="00121E50" w:rsidRDefault="002C0DC9" w:rsidP="002C0DC9">
      <w:pPr>
        <w:jc w:val="center"/>
        <w:rPr>
          <w:rFonts w:ascii="方正大标宋_GBK" w:eastAsia="方正大标宋_GBK" w:hAnsi="宋体" w:cs="宋体"/>
          <w:kern w:val="0"/>
          <w:sz w:val="36"/>
          <w:szCs w:val="36"/>
        </w:rPr>
      </w:pPr>
      <w:r w:rsidRPr="002C0DC9">
        <w:rPr>
          <w:rFonts w:ascii="方正大标宋_GBK" w:eastAsia="方正大标宋_GBK" w:hAnsi="宋体" w:cs="宋体" w:hint="eastAsia"/>
          <w:kern w:val="0"/>
          <w:sz w:val="36"/>
          <w:szCs w:val="36"/>
        </w:rPr>
        <w:t>2018年度广东省科技创新战略专项资金项目</w:t>
      </w:r>
    </w:p>
    <w:p w:rsidR="002C0DC9" w:rsidRPr="002C0DC9" w:rsidRDefault="002C0DC9" w:rsidP="002C0DC9">
      <w:pPr>
        <w:jc w:val="center"/>
        <w:rPr>
          <w:sz w:val="36"/>
          <w:szCs w:val="36"/>
        </w:rPr>
      </w:pPr>
      <w:r w:rsidRPr="002C0DC9">
        <w:rPr>
          <w:rFonts w:ascii="方正大标宋_GBK" w:eastAsia="方正大标宋_GBK" w:hAnsi="宋体" w:cs="宋体" w:hint="eastAsia"/>
          <w:kern w:val="0"/>
          <w:sz w:val="36"/>
          <w:szCs w:val="36"/>
        </w:rPr>
        <w:t>拟立项项目明细表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880"/>
        <w:gridCol w:w="4700"/>
        <w:gridCol w:w="2560"/>
        <w:gridCol w:w="1500"/>
      </w:tblGrid>
      <w:tr w:rsidR="002C0DC9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承担单位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8B4" w:rsidRDefault="002C0DC9" w:rsidP="002908B4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资助金额</w:t>
            </w:r>
          </w:p>
          <w:p w:rsidR="002C0DC9" w:rsidRPr="002C0DC9" w:rsidRDefault="002C0DC9" w:rsidP="002908B4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（万元）</w:t>
            </w:r>
          </w:p>
        </w:tc>
      </w:tr>
      <w:tr w:rsidR="002C0DC9" w:rsidRPr="002C0DC9" w:rsidTr="00F73646">
        <w:trPr>
          <w:trHeight w:val="63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0DC9" w:rsidRPr="002C0DC9" w:rsidRDefault="002C0DC9" w:rsidP="00F73646">
            <w:pPr>
              <w:widowControl/>
              <w:spacing w:line="400" w:lineRule="exact"/>
              <w:jc w:val="left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一、对接国家重大项目、提升科技服务能力项目资助</w:t>
            </w:r>
            <w:r w:rsidR="00F73646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（共资助项目</w:t>
            </w:r>
            <w:r w:rsidR="00F73646">
              <w:rPr>
                <w:rFonts w:ascii="方正黑体_GBK" w:eastAsia="方正黑体_GBK" w:hAnsi="宋体" w:cs="宋体" w:hint="eastAsia"/>
                <w:kern w:val="0"/>
                <w:sz w:val="22"/>
              </w:rPr>
              <w:t>4</w:t>
            </w:r>
            <w:r w:rsidR="00F73646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项，资助资金</w:t>
            </w:r>
            <w:r w:rsidR="00F73646">
              <w:rPr>
                <w:rFonts w:ascii="方正黑体_GBK" w:eastAsia="方正黑体_GBK" w:hAnsi="宋体" w:cs="宋体" w:hint="eastAsia"/>
                <w:kern w:val="0"/>
                <w:sz w:val="22"/>
              </w:rPr>
              <w:t>60</w:t>
            </w:r>
            <w:r w:rsidR="00F73646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0万元）</w:t>
            </w:r>
          </w:p>
        </w:tc>
      </w:tr>
      <w:tr w:rsidR="002C0DC9" w:rsidRPr="002C0DC9" w:rsidTr="00F73646">
        <w:trPr>
          <w:trHeight w:val="72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江门中微子实验性能提升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开平中微子研究中心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300</w:t>
            </w:r>
          </w:p>
        </w:tc>
      </w:tr>
      <w:tr w:rsidR="002C0DC9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江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门市珠西科技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产业创新服务中心建设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江门市科技服务中心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150</w:t>
            </w:r>
          </w:p>
        </w:tc>
      </w:tr>
      <w:tr w:rsidR="002C0DC9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科技型企业监测评价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江门市高新技术产业促进会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50</w:t>
            </w:r>
          </w:p>
        </w:tc>
      </w:tr>
      <w:tr w:rsidR="002C0DC9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江门市科技馆升级改造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江门市青少年宫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DC9" w:rsidRPr="002C0DC9" w:rsidRDefault="002C0DC9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Cs w:val="21"/>
              </w:rPr>
              <w:t>100</w:t>
            </w:r>
          </w:p>
        </w:tc>
      </w:tr>
      <w:tr w:rsidR="00A162DE" w:rsidRPr="00F73646" w:rsidTr="00F73646">
        <w:trPr>
          <w:trHeight w:val="630"/>
          <w:jc w:val="center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DE" w:rsidRPr="00F73646" w:rsidRDefault="00A162DE" w:rsidP="00F73646">
            <w:pPr>
              <w:widowControl/>
              <w:spacing w:line="400" w:lineRule="exact"/>
              <w:jc w:val="left"/>
              <w:rPr>
                <w:rFonts w:ascii="方正黑体_GBK" w:eastAsia="方正黑体_GBK" w:hAnsi="宋体" w:cs="宋体" w:hint="eastAsia"/>
                <w:kern w:val="0"/>
                <w:szCs w:val="21"/>
              </w:rPr>
            </w:pPr>
            <w:r w:rsidRPr="00F73646">
              <w:rPr>
                <w:rFonts w:ascii="方正黑体_GBK" w:eastAsia="方正黑体_GBK" w:hint="eastAsia"/>
              </w:rPr>
              <w:t>二、</w:t>
            </w:r>
            <w:r w:rsidRPr="00F73646">
              <w:rPr>
                <w:rFonts w:ascii="方正黑体_GBK" w:eastAsia="方正黑体_GBK" w:hint="eastAsia"/>
              </w:rPr>
              <w:t>提升科技型中小企业创新能力类</w:t>
            </w:r>
            <w:r w:rsidR="00F73646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（共资助项目2项，资助资金</w:t>
            </w:r>
            <w:r w:rsidR="00F73646">
              <w:rPr>
                <w:rFonts w:ascii="方正黑体_GBK" w:eastAsia="方正黑体_GBK" w:hAnsi="宋体" w:cs="宋体" w:hint="eastAsia"/>
                <w:kern w:val="0"/>
                <w:sz w:val="22"/>
              </w:rPr>
              <w:t>70</w:t>
            </w:r>
            <w:r w:rsidR="00F73646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0万元）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DE" w:rsidRPr="00C239DC" w:rsidRDefault="00A162DE" w:rsidP="00A162DE">
            <w:pPr>
              <w:rPr>
                <w:rFonts w:ascii="方正仿宋_GBK" w:eastAsia="方正仿宋_GBK"/>
              </w:rPr>
            </w:pPr>
            <w:r w:rsidRPr="00C239DC">
              <w:rPr>
                <w:rFonts w:ascii="方正仿宋_GBK" w:eastAsia="方正仿宋_GBK" w:hint="eastAsia"/>
              </w:rPr>
              <w:t>扶持科技型中小企业技术创新项目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DE" w:rsidRPr="00C239DC" w:rsidRDefault="00A162DE" w:rsidP="00A162DE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2018年科技创新创业</w:t>
            </w:r>
            <w:r>
              <w:rPr>
                <w:rFonts w:ascii="方正仿宋_GBK" w:eastAsia="方正仿宋_GBK" w:hint="eastAsia"/>
              </w:rPr>
              <w:t>大赛获奖企业，综合</w:t>
            </w:r>
            <w:r>
              <w:rPr>
                <w:rFonts w:ascii="方正仿宋_GBK" w:eastAsia="方正仿宋_GBK" w:hint="eastAsia"/>
              </w:rPr>
              <w:t>大赛</w:t>
            </w:r>
            <w:r>
              <w:rPr>
                <w:rFonts w:ascii="方正仿宋_GBK" w:eastAsia="方正仿宋_GBK" w:hint="eastAsia"/>
              </w:rPr>
              <w:t>资金合并使用。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DE" w:rsidRPr="00C239DC" w:rsidRDefault="00A162DE" w:rsidP="007C69D4">
            <w:pPr>
              <w:jc w:val="center"/>
              <w:rPr>
                <w:rFonts w:ascii="方正仿宋_GBK" w:eastAsia="方正仿宋_GBK"/>
              </w:rPr>
            </w:pPr>
            <w:r w:rsidRPr="00C239DC">
              <w:rPr>
                <w:rFonts w:ascii="方正仿宋_GBK" w:eastAsia="方正仿宋_GBK" w:hint="eastAsia"/>
              </w:rPr>
              <w:t>300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DE" w:rsidRPr="00C239DC" w:rsidRDefault="00A162DE" w:rsidP="007C69D4">
            <w:pPr>
              <w:rPr>
                <w:rFonts w:ascii="方正仿宋_GBK" w:eastAsia="方正仿宋_GBK"/>
              </w:rPr>
            </w:pPr>
            <w:r w:rsidRPr="00C239DC">
              <w:rPr>
                <w:rFonts w:ascii="方正仿宋_GBK" w:eastAsia="方正仿宋_GBK" w:hint="eastAsia"/>
              </w:rPr>
              <w:t>推动科技金融结合项目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DE" w:rsidRPr="00C239DC" w:rsidRDefault="00A162DE" w:rsidP="00A162DE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2018年科技贷款贴息企业，综合科技资金合并使用。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DE" w:rsidRPr="00C239DC" w:rsidRDefault="00A162DE" w:rsidP="007C69D4">
            <w:pPr>
              <w:jc w:val="center"/>
              <w:rPr>
                <w:rFonts w:ascii="方正仿宋_GBK" w:eastAsia="方正仿宋_GBK"/>
              </w:rPr>
            </w:pPr>
            <w:r w:rsidRPr="00C239DC">
              <w:rPr>
                <w:rFonts w:ascii="方正仿宋_GBK" w:eastAsia="方正仿宋_GBK" w:hint="eastAsia"/>
              </w:rPr>
              <w:t>400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2DE" w:rsidRPr="002C0DC9" w:rsidRDefault="00F73646" w:rsidP="002C0DC9">
            <w:pPr>
              <w:widowControl/>
              <w:spacing w:line="400" w:lineRule="exact"/>
              <w:jc w:val="left"/>
              <w:rPr>
                <w:rFonts w:ascii="方正黑体_GBK" w:eastAsia="方正黑体_GBK" w:hAnsi="宋体" w:cs="宋体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2"/>
              </w:rPr>
              <w:t>三</w:t>
            </w:r>
            <w:r w:rsidR="00A162DE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、农村创新创业环境和平台（</w:t>
            </w:r>
            <w:proofErr w:type="gramStart"/>
            <w:r w:rsidR="00A162DE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星创天地</w:t>
            </w:r>
            <w:proofErr w:type="gramEnd"/>
            <w:r w:rsidR="00A162DE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）建设资助（共资助项目2项，资助资金40万元）</w:t>
            </w:r>
          </w:p>
        </w:tc>
      </w:tr>
      <w:tr w:rsidR="00A162DE" w:rsidRPr="002C0DC9" w:rsidTr="00F73646">
        <w:trPr>
          <w:trHeight w:val="945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农村创新创业环境和平台（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星创天地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）建设资助（优质水果健康生态栽培技术集成研究与示范）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浩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伦生态农业有限公司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农村创新创业环境和平台（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星创天地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）建设资助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新奇点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企业孵化器有限公司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2DE" w:rsidRPr="002C0DC9" w:rsidRDefault="00F73646" w:rsidP="002C0DC9">
            <w:pPr>
              <w:widowControl/>
              <w:spacing w:line="400" w:lineRule="exact"/>
              <w:jc w:val="left"/>
              <w:rPr>
                <w:rFonts w:ascii="方正黑体_GBK" w:eastAsia="方正黑体_GBK" w:hAnsi="宋体" w:cs="宋体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2"/>
              </w:rPr>
              <w:t>四</w:t>
            </w:r>
            <w:r w:rsidR="00A162DE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、高水平院校（所）联合研发机构建设资助（共资助项目3项，资助资金300万元）</w:t>
            </w:r>
          </w:p>
        </w:tc>
      </w:tr>
      <w:tr w:rsidR="00A162DE" w:rsidRPr="002C0DC9" w:rsidTr="00F73646">
        <w:trPr>
          <w:trHeight w:val="945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江门市大健康国际创新研究院</w:t>
            </w:r>
            <w:r w:rsidRPr="002C0DC9">
              <w:rPr>
                <w:rFonts w:ascii="Times New Roman" w:eastAsia="方正仿宋_GBK" w:hAnsi="Times New Roman" w:cs="Times New Roman"/>
                <w:kern w:val="0"/>
                <w:sz w:val="22"/>
              </w:rPr>
              <w:t>(</w:t>
            </w: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基于岭南特色植物精油与新型拟菊酯类药物分子开发高效安全防控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蚊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产品</w:t>
            </w:r>
            <w:r w:rsidRPr="002C0DC9">
              <w:rPr>
                <w:rFonts w:ascii="Times New Roman" w:eastAsia="方正仿宋_GBK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江门市大健康国际创新研究院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100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广东省智能制造研究所江门中心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门市德泓装备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技术有限公司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100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江门市泛亚生物工程与健康产品创制平台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江门市泛亚生物工程与健康研究院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100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62DE" w:rsidRPr="002C0DC9" w:rsidRDefault="00F73646" w:rsidP="002C0DC9">
            <w:pPr>
              <w:widowControl/>
              <w:spacing w:line="400" w:lineRule="exact"/>
              <w:jc w:val="left"/>
              <w:rPr>
                <w:rFonts w:ascii="方正黑体_GBK" w:eastAsia="方正黑体_GBK" w:hAnsi="宋体" w:cs="宋体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2"/>
              </w:rPr>
              <w:t>五</w:t>
            </w:r>
            <w:r w:rsidR="00A162DE" w:rsidRPr="002C0DC9">
              <w:rPr>
                <w:rFonts w:ascii="方正黑体_GBK" w:eastAsia="方正黑体_GBK" w:hAnsi="宋体" w:cs="宋体" w:hint="eastAsia"/>
                <w:kern w:val="0"/>
                <w:sz w:val="22"/>
              </w:rPr>
              <w:t>、省重点实验室培育资助（共资助项目10项，资助资金360万元）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left"/>
              <w:rPr>
                <w:rFonts w:ascii="方正楷体_GBK" w:eastAsia="方正楷体_GBK" w:hAnsi="宋体" w:cs="宋体"/>
                <w:kern w:val="0"/>
                <w:sz w:val="22"/>
              </w:rPr>
            </w:pPr>
            <w:r w:rsidRPr="002C0DC9">
              <w:rPr>
                <w:rFonts w:ascii="方正楷体_GBK" w:eastAsia="方正楷体_GBK" w:hAnsi="宋体" w:cs="宋体" w:hint="eastAsia"/>
                <w:kern w:val="0"/>
                <w:sz w:val="22"/>
              </w:rPr>
              <w:t>1. 依托高校及科研机构建设(共资助项目5项，小计180万元)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光电及新能源材料重点实验室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五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邑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先进产业用纤维材料重点实验室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五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邑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江门市功能材料与涂料重点实验室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江门职业技术学院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江门市水暖卫浴产品环保特性检测重点实验室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广东省江门市质量计量监督检测所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广东省高熵合金及其复合材料重点实验室培育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江门职业技术学院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left"/>
              <w:rPr>
                <w:rFonts w:ascii="方正楷体_GBK" w:eastAsia="方正楷体_GBK" w:hAnsi="宋体" w:cs="宋体"/>
                <w:kern w:val="0"/>
                <w:sz w:val="22"/>
              </w:rPr>
            </w:pPr>
            <w:r w:rsidRPr="002C0DC9">
              <w:rPr>
                <w:rFonts w:ascii="方正楷体_GBK" w:eastAsia="方正楷体_GBK" w:hAnsi="宋体" w:cs="宋体" w:hint="eastAsia"/>
                <w:kern w:val="0"/>
                <w:sz w:val="22"/>
              </w:rPr>
              <w:t>2.依托企业(共资助项目6项，每项资助30万元，小计180万元)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广东省车辆关键零部件（富华）企业重点实验室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广东富华重工制造有限公司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</w:t>
            </w:r>
            <w:proofErr w:type="gramStart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益生元功能性</w:t>
            </w:r>
            <w:proofErr w:type="gramEnd"/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低聚糖研究与应用企业重点实验室建设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量子高科（中国）生物股份有限公司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广东省轻量化节能汽车、摩托车发动机及整车技术企业重点实验室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广东大冶摩托车技术有限公司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江门市新型线路板技术企业重点实验室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江门荣信电路板有限公司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广东海信电子有限公司重点实验室培育项目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广东海信电子有限公司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A162DE" w:rsidRPr="002C0DC9" w:rsidTr="00F73646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江门市电镀废弃物环保处理及资源化技术重点实验室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2C0DC9">
              <w:rPr>
                <w:rFonts w:ascii="方正仿宋_GBK" w:eastAsia="方正仿宋_GBK" w:hAnsi="宋体" w:cs="宋体" w:hint="eastAsia"/>
                <w:kern w:val="0"/>
                <w:sz w:val="22"/>
              </w:rPr>
              <w:t>江门市崖门新财富环保工业有限公司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2DE" w:rsidRPr="002C0DC9" w:rsidRDefault="00A162DE" w:rsidP="002C0DC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C0DC9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</w:tr>
      <w:tr w:rsidR="00F73646" w:rsidRPr="002C0DC9" w:rsidTr="00F73646">
        <w:trPr>
          <w:trHeight w:val="257"/>
          <w:jc w:val="center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3646" w:rsidRPr="002C0DC9" w:rsidRDefault="00F73646" w:rsidP="00F73646">
            <w:pPr>
              <w:widowControl/>
              <w:spacing w:line="1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73646" w:rsidRPr="00F73646" w:rsidTr="00F73646">
        <w:trPr>
          <w:trHeight w:val="630"/>
          <w:jc w:val="center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646" w:rsidRPr="00F73646" w:rsidRDefault="00F73646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F73646">
              <w:rPr>
                <w:rFonts w:ascii="方正黑体_GBK" w:eastAsia="方正黑体_GBK" w:hAnsi="宋体" w:cs="宋体" w:hint="eastAsia"/>
                <w:kern w:val="0"/>
                <w:sz w:val="22"/>
              </w:rPr>
              <w:t>合     计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646" w:rsidRPr="00F73646" w:rsidRDefault="00F73646" w:rsidP="002C0DC9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Times New Roman" w:hint="eastAsia"/>
                <w:kern w:val="0"/>
                <w:sz w:val="22"/>
              </w:rPr>
            </w:pPr>
            <w:r w:rsidRPr="00F73646">
              <w:rPr>
                <w:rFonts w:ascii="方正黑体_GBK" w:eastAsia="方正黑体_GBK" w:hAnsi="Times New Roman" w:cs="Times New Roman" w:hint="eastAsia"/>
                <w:kern w:val="0"/>
                <w:sz w:val="22"/>
              </w:rPr>
              <w:t>2000</w:t>
            </w:r>
          </w:p>
        </w:tc>
      </w:tr>
    </w:tbl>
    <w:p w:rsidR="00ED3A65" w:rsidRDefault="00ED3A65"/>
    <w:sectPr w:rsidR="00ED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60971"/>
    <w:multiLevelType w:val="hybridMultilevel"/>
    <w:tmpl w:val="2DAC6B70"/>
    <w:lvl w:ilvl="0" w:tplc="45B6B0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C9"/>
    <w:rsid w:val="00121E50"/>
    <w:rsid w:val="002908B4"/>
    <w:rsid w:val="002C0DC9"/>
    <w:rsid w:val="00A162DE"/>
    <w:rsid w:val="00ED3A65"/>
    <w:rsid w:val="00F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4</cp:revision>
  <dcterms:created xsi:type="dcterms:W3CDTF">2018-12-18T09:07:00Z</dcterms:created>
  <dcterms:modified xsi:type="dcterms:W3CDTF">2018-12-19T01:25:00Z</dcterms:modified>
</cp:coreProperties>
</file>