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600" w:firstLineChars="500"/>
        <w:rPr>
          <w:rFonts w:hint="eastAsia"/>
          <w:sz w:val="52"/>
          <w:szCs w:val="52"/>
          <w:lang w:val="en-US" w:eastAsia="zh-CN"/>
        </w:rPr>
      </w:pPr>
    </w:p>
    <w:p>
      <w:pPr>
        <w:ind w:firstLine="2600" w:firstLineChars="500"/>
        <w:rPr>
          <w:rFonts w:hint="eastAsia"/>
          <w:sz w:val="52"/>
          <w:szCs w:val="52"/>
          <w:lang w:val="en-US" w:eastAsia="zh-CN"/>
        </w:rPr>
      </w:pPr>
    </w:p>
    <w:p>
      <w:pPr>
        <w:ind w:firstLine="1040" w:firstLineChars="200"/>
        <w:rPr>
          <w:rFonts w:hint="eastAsia"/>
          <w:sz w:val="52"/>
          <w:szCs w:val="52"/>
          <w:lang w:val="en-US" w:eastAsia="zh-CN"/>
        </w:rPr>
      </w:pPr>
      <w:r>
        <w:rPr>
          <w:rFonts w:hint="eastAsia"/>
          <w:sz w:val="52"/>
          <w:szCs w:val="52"/>
          <w:lang w:val="en-US" w:eastAsia="zh-CN"/>
        </w:rPr>
        <w:t>2019年企业自行监测方案</w:t>
      </w:r>
    </w:p>
    <w:p>
      <w:pPr>
        <w:ind w:firstLine="5400" w:firstLineChars="1500"/>
        <w:rPr>
          <w:rFonts w:hint="eastAsia"/>
          <w:sz w:val="36"/>
          <w:szCs w:val="36"/>
          <w:lang w:val="en-US" w:eastAsia="zh-CN"/>
        </w:rPr>
      </w:pPr>
    </w:p>
    <w:p>
      <w:pPr>
        <w:ind w:firstLine="5400" w:firstLineChars="1500"/>
        <w:rPr>
          <w:rFonts w:hint="eastAsia"/>
          <w:sz w:val="36"/>
          <w:szCs w:val="36"/>
          <w:lang w:val="en-US" w:eastAsia="zh-CN"/>
        </w:rPr>
      </w:pPr>
    </w:p>
    <w:p>
      <w:pPr>
        <w:ind w:firstLine="5400" w:firstLineChars="1500"/>
        <w:rPr>
          <w:rFonts w:hint="eastAsia"/>
          <w:sz w:val="36"/>
          <w:szCs w:val="36"/>
          <w:lang w:val="en-US" w:eastAsia="zh-CN"/>
        </w:rPr>
      </w:pPr>
    </w:p>
    <w:p>
      <w:pPr>
        <w:rPr>
          <w:rFonts w:hint="eastAsia"/>
          <w:sz w:val="36"/>
          <w:szCs w:val="36"/>
          <w:lang w:val="en-US" w:eastAsia="zh-CN"/>
        </w:rPr>
      </w:pPr>
    </w:p>
    <w:p>
      <w:pPr>
        <w:rPr>
          <w:rFonts w:hint="eastAsia"/>
          <w:sz w:val="36"/>
          <w:szCs w:val="36"/>
          <w:lang w:val="en-US" w:eastAsia="zh-CN"/>
        </w:rPr>
      </w:pPr>
    </w:p>
    <w:p>
      <w:pPr>
        <w:rPr>
          <w:rFonts w:hint="eastAsia"/>
          <w:sz w:val="36"/>
          <w:szCs w:val="36"/>
          <w:lang w:val="en-US" w:eastAsia="zh-CN"/>
        </w:rPr>
      </w:pPr>
    </w:p>
    <w:p>
      <w:pPr>
        <w:ind w:firstLine="720" w:firstLineChars="200"/>
        <w:rPr>
          <w:rFonts w:hint="eastAsia"/>
          <w:sz w:val="36"/>
          <w:szCs w:val="36"/>
          <w:lang w:val="en-US" w:eastAsia="zh-CN"/>
        </w:rPr>
      </w:pPr>
    </w:p>
    <w:p>
      <w:pPr>
        <w:ind w:firstLine="720" w:firstLineChars="200"/>
        <w:rPr>
          <w:rFonts w:hint="default"/>
          <w:b w:val="0"/>
          <w:bCs w:val="0"/>
          <w:sz w:val="36"/>
          <w:szCs w:val="36"/>
          <w:u w:val="none"/>
          <w:lang w:val="en-US" w:eastAsia="zh-CN"/>
        </w:rPr>
      </w:pPr>
      <w:r>
        <w:rPr>
          <w:rFonts w:hint="eastAsia"/>
          <w:sz w:val="36"/>
          <w:szCs w:val="36"/>
          <w:lang w:val="en-US" w:eastAsia="zh-CN"/>
        </w:rPr>
        <w:t>监测单位：</w:t>
      </w:r>
      <w:r>
        <w:rPr>
          <w:rFonts w:hint="eastAsia"/>
          <w:b w:val="0"/>
          <w:bCs w:val="0"/>
          <w:sz w:val="36"/>
          <w:szCs w:val="36"/>
          <w:u w:val="single"/>
          <w:lang w:val="en-US" w:eastAsia="zh-CN"/>
        </w:rPr>
        <w:t xml:space="preserve"> 广东强强瓷业科技有限公司                     </w:t>
      </w:r>
      <w:r>
        <w:rPr>
          <w:rFonts w:hint="eastAsia"/>
          <w:b w:val="0"/>
          <w:bCs w:val="0"/>
          <w:sz w:val="36"/>
          <w:szCs w:val="36"/>
          <w:u w:val="none"/>
          <w:lang w:val="en-US" w:eastAsia="zh-CN"/>
        </w:rPr>
        <w:t xml:space="preserve">   </w:t>
      </w:r>
    </w:p>
    <w:p>
      <w:pPr>
        <w:ind w:firstLine="720" w:firstLineChars="200"/>
        <w:rPr>
          <w:rFonts w:hint="default"/>
          <w:sz w:val="36"/>
          <w:szCs w:val="36"/>
          <w:u w:val="single"/>
          <w:lang w:val="en-US" w:eastAsia="zh-CN"/>
        </w:rPr>
      </w:pPr>
      <w:r>
        <w:rPr>
          <w:rFonts w:hint="eastAsia"/>
          <w:sz w:val="36"/>
          <w:szCs w:val="36"/>
          <w:u w:val="none"/>
          <w:lang w:val="en-US" w:eastAsia="zh-CN"/>
        </w:rPr>
        <w:t>编制时间：</w:t>
      </w:r>
      <w:r>
        <w:rPr>
          <w:rFonts w:hint="eastAsia"/>
          <w:sz w:val="36"/>
          <w:szCs w:val="36"/>
          <w:u w:val="single"/>
          <w:lang w:val="en-US" w:eastAsia="zh-CN"/>
        </w:rPr>
        <w:t xml:space="preserve">        2019年3月12日         </w:t>
      </w:r>
    </w:p>
    <w:p>
      <w:pPr>
        <w:ind w:firstLine="720" w:firstLineChars="200"/>
        <w:rPr>
          <w:rFonts w:hint="eastAsia"/>
          <w:sz w:val="36"/>
          <w:szCs w:val="36"/>
          <w:u w:val="single"/>
          <w:lang w:val="en-US" w:eastAsia="zh-CN"/>
        </w:rPr>
      </w:pPr>
    </w:p>
    <w:p>
      <w:pPr>
        <w:ind w:firstLine="720" w:firstLineChars="200"/>
        <w:rPr>
          <w:rFonts w:hint="eastAsia"/>
          <w:sz w:val="36"/>
          <w:szCs w:val="36"/>
          <w:u w:val="single"/>
          <w:lang w:val="en-US" w:eastAsia="zh-CN"/>
        </w:rPr>
      </w:pPr>
      <w:bookmarkStart w:id="0" w:name="_GoBack"/>
      <w:bookmarkEnd w:id="0"/>
    </w:p>
    <w:p>
      <w:pPr>
        <w:ind w:firstLine="720" w:firstLineChars="200"/>
        <w:rPr>
          <w:rFonts w:hint="eastAsia"/>
          <w:sz w:val="36"/>
          <w:szCs w:val="36"/>
          <w:u w:val="single"/>
          <w:lang w:val="en-US" w:eastAsia="zh-CN"/>
        </w:rPr>
      </w:pPr>
    </w:p>
    <w:p>
      <w:pPr>
        <w:ind w:firstLine="720" w:firstLineChars="200"/>
        <w:rPr>
          <w:rFonts w:hint="eastAsia"/>
          <w:sz w:val="36"/>
          <w:szCs w:val="36"/>
          <w:u w:val="single"/>
          <w:lang w:val="en-US" w:eastAsia="zh-CN"/>
        </w:rPr>
      </w:pPr>
    </w:p>
    <w:p>
      <w:pPr>
        <w:ind w:firstLine="720" w:firstLineChars="200"/>
        <w:rPr>
          <w:rFonts w:hint="eastAsia"/>
          <w:sz w:val="36"/>
          <w:szCs w:val="36"/>
          <w:u w:val="single"/>
          <w:lang w:val="en-US" w:eastAsia="zh-CN"/>
        </w:rPr>
      </w:pPr>
    </w:p>
    <w:p>
      <w:pPr>
        <w:ind w:firstLine="720" w:firstLineChars="200"/>
        <w:rPr>
          <w:rFonts w:hint="eastAsia"/>
          <w:sz w:val="36"/>
          <w:szCs w:val="36"/>
          <w:u w:val="single"/>
          <w:lang w:val="en-US" w:eastAsia="zh-CN"/>
        </w:rPr>
      </w:pPr>
    </w:p>
    <w:p>
      <w:pPr>
        <w:ind w:firstLine="720" w:firstLineChars="200"/>
        <w:rPr>
          <w:rFonts w:hint="eastAsia"/>
          <w:sz w:val="36"/>
          <w:szCs w:val="36"/>
          <w:u w:val="single"/>
          <w:lang w:val="en-US" w:eastAsia="zh-CN"/>
        </w:rPr>
      </w:pPr>
    </w:p>
    <w:p>
      <w:pPr>
        <w:ind w:firstLine="720" w:firstLineChars="200"/>
        <w:rPr>
          <w:rFonts w:hint="eastAsia"/>
          <w:sz w:val="36"/>
          <w:szCs w:val="36"/>
          <w:u w:val="single"/>
          <w:lang w:val="en-US" w:eastAsia="zh-CN"/>
        </w:rPr>
      </w:pPr>
    </w:p>
    <w:p>
      <w:pPr>
        <w:rPr>
          <w:rFonts w:hint="eastAsia"/>
          <w:sz w:val="24"/>
          <w:szCs w:val="24"/>
          <w:u w:val="none"/>
          <w:lang w:val="en-US" w:eastAsia="zh-CN"/>
        </w:rPr>
      </w:pPr>
    </w:p>
    <w:p>
      <w:pPr>
        <w:numPr>
          <w:ilvl w:val="0"/>
          <w:numId w:val="1"/>
        </w:numPr>
        <w:rPr>
          <w:rFonts w:hint="eastAsia"/>
          <w:b/>
          <w:bCs/>
          <w:sz w:val="24"/>
          <w:szCs w:val="24"/>
          <w:u w:val="none"/>
          <w:lang w:val="en-US" w:eastAsia="zh-CN"/>
        </w:rPr>
      </w:pPr>
      <w:r>
        <w:rPr>
          <w:rFonts w:hint="eastAsia"/>
          <w:b/>
          <w:bCs/>
          <w:sz w:val="24"/>
          <w:szCs w:val="24"/>
          <w:u w:val="none"/>
          <w:lang w:val="en-US" w:eastAsia="zh-CN"/>
        </w:rPr>
        <w:t>企业概况</w:t>
      </w:r>
    </w:p>
    <w:p>
      <w:pPr>
        <w:numPr>
          <w:numId w:val="0"/>
        </w:numPr>
        <w:ind w:firstLine="480" w:firstLineChars="200"/>
        <w:rPr>
          <w:rFonts w:hint="eastAsia"/>
          <w:b w:val="0"/>
          <w:bCs w:val="0"/>
          <w:sz w:val="24"/>
          <w:szCs w:val="24"/>
          <w:lang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b w:val="0"/>
          <w:bCs w:val="0"/>
          <w:sz w:val="24"/>
          <w:szCs w:val="24"/>
          <w:lang w:val="en-US" w:eastAsia="zh-CN"/>
        </w:rPr>
      </w:pPr>
      <w:r>
        <w:rPr>
          <w:rFonts w:hint="eastAsia"/>
          <w:b w:val="0"/>
          <w:bCs w:val="0"/>
          <w:sz w:val="24"/>
          <w:szCs w:val="24"/>
          <w:lang w:eastAsia="zh-CN"/>
        </w:rPr>
        <w:t>恩平市新得利陶瓷有限公司原名恩平市景瑜陶瓷有限公司、位于恩平市横坡镇临港陶瓷产业集聚区，成立于</w:t>
      </w:r>
      <w:r>
        <w:rPr>
          <w:rFonts w:hint="eastAsia"/>
          <w:b w:val="0"/>
          <w:bCs w:val="0"/>
          <w:sz w:val="24"/>
          <w:szCs w:val="24"/>
          <w:lang w:val="en-US" w:eastAsia="zh-CN"/>
        </w:rPr>
        <w:t>2009年、占地面积32万</w:t>
      </w:r>
      <w:r>
        <w:rPr>
          <w:rFonts w:hint="eastAsia" w:ascii="宋体" w:hAnsi="宋体" w:eastAsia="宋体" w:cs="宋体"/>
          <w:b w:val="0"/>
          <w:bCs w:val="0"/>
          <w:sz w:val="24"/>
          <w:szCs w:val="24"/>
          <w:lang w:val="en-US" w:eastAsia="zh-CN"/>
        </w:rPr>
        <w:t>㎡。至2010年10月，企业建有4条生产线，喷雾塔采用水煤浆为燃料，但未报批环评文件。现依据《印发恩平市横陂镇同瓷产业集聚区环境监管工作方案的通知》(思府办[2015] 119号)和关于环境违法违规建设项目清理整顿工作的相关文件等要求，通过开展现状环境影响评价并通过技术评估后备案的形式完善环保手续。本次完善环保手续的4条生产线，年产抛光砖2400万m’，主要生产设备有球磨机48台、7000型喷雾塔2台、9000型喷雾塔公台、压机20合、辊道窑4条、3.6米直径双段煤气发生炉4台等，其中喷雾塔采用水煤浆为燃料，辊道窑采用水煤气为燃料。</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b w:val="0"/>
          <w:bCs w:val="0"/>
          <w:sz w:val="24"/>
          <w:szCs w:val="24"/>
          <w:lang w:val="en-US" w:eastAsia="zh-CN"/>
        </w:rPr>
      </w:pPr>
      <w:r>
        <w:rPr>
          <w:rFonts w:hint="eastAsia"/>
          <w:b w:val="0"/>
          <w:bCs w:val="0"/>
          <w:sz w:val="24"/>
          <w:szCs w:val="24"/>
          <w:lang w:eastAsia="zh-CN"/>
        </w:rPr>
        <w:t>产生废物利用情况</w:t>
      </w:r>
      <w:r>
        <w:rPr>
          <w:b w:val="0"/>
          <w:bCs w:val="0"/>
          <w:sz w:val="24"/>
          <w:szCs w:val="24"/>
        </w:rPr>
        <w:t>：</w:t>
      </w:r>
      <w:r>
        <w:rPr>
          <w:rFonts w:hint="eastAsia"/>
          <w:b w:val="0"/>
          <w:bCs w:val="0"/>
          <w:sz w:val="24"/>
          <w:szCs w:val="24"/>
          <w:lang w:eastAsia="zh-CN"/>
        </w:rPr>
        <w:t>产生的</w:t>
      </w:r>
      <w:r>
        <w:rPr>
          <w:rFonts w:hint="eastAsia"/>
          <w:sz w:val="24"/>
          <w:szCs w:val="24"/>
        </w:rPr>
        <w:t>废</w:t>
      </w:r>
      <w:r>
        <w:rPr>
          <w:rFonts w:hint="eastAsia"/>
          <w:sz w:val="24"/>
          <w:szCs w:val="24"/>
          <w:lang w:eastAsia="zh-CN"/>
        </w:rPr>
        <w:t>矿物</w:t>
      </w:r>
      <w:r>
        <w:rPr>
          <w:rFonts w:hint="eastAsia"/>
          <w:sz w:val="24"/>
          <w:szCs w:val="24"/>
        </w:rPr>
        <w:t>油、</w:t>
      </w:r>
      <w:r>
        <w:rPr>
          <w:rFonts w:hint="eastAsia"/>
          <w:sz w:val="24"/>
          <w:szCs w:val="24"/>
          <w:lang w:eastAsia="zh-CN"/>
        </w:rPr>
        <w:t>废灯管，废包装桶、</w:t>
      </w:r>
      <w:r>
        <w:rPr>
          <w:rFonts w:hint="eastAsia"/>
          <w:sz w:val="24"/>
          <w:szCs w:val="24"/>
        </w:rPr>
        <w:t>以及</w:t>
      </w:r>
      <w:r>
        <w:rPr>
          <w:rFonts w:hint="eastAsia"/>
          <w:sz w:val="24"/>
          <w:szCs w:val="24"/>
          <w:lang w:eastAsia="zh-CN"/>
        </w:rPr>
        <w:t>废煤焦油渣</w:t>
      </w:r>
      <w:r>
        <w:rPr>
          <w:rFonts w:hint="eastAsia"/>
          <w:sz w:val="24"/>
          <w:szCs w:val="24"/>
        </w:rPr>
        <w:t>属于危险废物，交予有资质的危险废物处理单位（</w:t>
      </w:r>
      <w:r>
        <w:rPr>
          <w:rFonts w:hint="eastAsia"/>
          <w:sz w:val="24"/>
          <w:szCs w:val="24"/>
          <w:lang w:eastAsia="zh-CN"/>
        </w:rPr>
        <w:t>龙善环保股份有限公司</w:t>
      </w:r>
      <w:r>
        <w:rPr>
          <w:rFonts w:hint="eastAsia"/>
          <w:sz w:val="24"/>
          <w:szCs w:val="24"/>
        </w:rPr>
        <w:t>）处置；</w:t>
      </w:r>
      <w:r>
        <w:rPr>
          <w:rFonts w:hint="eastAsia"/>
          <w:sz w:val="24"/>
          <w:szCs w:val="24"/>
          <w:lang w:eastAsia="zh-CN"/>
        </w:rPr>
        <w:t>酚水自行利用水煤浆入球、煤焦油用作燃料燃烧，环评批复</w:t>
      </w:r>
      <w:r>
        <w:rPr>
          <w:rFonts w:hint="eastAsia" w:ascii="仿宋_GB2312" w:hAnsi="宋体" w:eastAsia="仿宋_GB2312" w:cs="宋体"/>
          <w:kern w:val="0"/>
          <w:szCs w:val="21"/>
          <w:lang w:val="en-US" w:eastAsia="zh-CN"/>
        </w:rPr>
        <w:t>恩环审【2018】77号</w:t>
      </w:r>
      <w:r>
        <w:rPr>
          <w:rFonts w:hint="eastAsia"/>
          <w:sz w:val="24"/>
          <w:szCs w:val="24"/>
          <w:lang w:eastAsia="zh-CN"/>
        </w:rPr>
        <w:t>；生产废水和生活污水经处理后全部回用到生产过程，不外排</w:t>
      </w:r>
      <w:r>
        <w:rPr>
          <w:rFonts w:hint="eastAsia"/>
          <w:sz w:val="24"/>
          <w:szCs w:val="24"/>
        </w:rPr>
        <w:t>；</w:t>
      </w:r>
      <w:r>
        <w:rPr>
          <w:rFonts w:hint="eastAsia"/>
          <w:sz w:val="24"/>
          <w:szCs w:val="24"/>
          <w:lang w:eastAsia="zh-CN"/>
        </w:rPr>
        <w:t>污泥、烂砖、粉煤灰、炉渣</w:t>
      </w:r>
      <w:r>
        <w:rPr>
          <w:rFonts w:hint="eastAsia"/>
          <w:sz w:val="24"/>
          <w:szCs w:val="24"/>
        </w:rPr>
        <w:t>属于一般工业固废，</w:t>
      </w:r>
      <w:r>
        <w:rPr>
          <w:rFonts w:hint="eastAsia"/>
          <w:sz w:val="24"/>
          <w:szCs w:val="24"/>
          <w:lang w:eastAsia="zh-CN"/>
        </w:rPr>
        <w:t>全部回用到生产并通过环评批复，</w:t>
      </w:r>
      <w:r>
        <w:rPr>
          <w:rFonts w:hint="eastAsia" w:ascii="仿宋_GB2312" w:hAnsi="宋体" w:eastAsia="仿宋_GB2312" w:cs="宋体"/>
          <w:kern w:val="0"/>
          <w:szCs w:val="21"/>
          <w:lang w:val="en-US" w:eastAsia="zh-CN"/>
        </w:rPr>
        <w:t>恩环审【2016】24号</w:t>
      </w:r>
      <w:r>
        <w:rPr>
          <w:rFonts w:hint="eastAsia"/>
          <w:sz w:val="24"/>
          <w:szCs w:val="24"/>
        </w:rPr>
        <w:t>；生活垃圾，统一收集后及时交由环卫部门处理</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企业自行监测开展情况简介 </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2.1根据建设单位的环境管理体系监控与测量管理程序，实行的监控与测量管理程序主要内容如下:</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根据环境保护法，企业设置环境保护和环境监测机构，企业环保技术人员全面负责本企业环境保护工作的管理和监测任务，改善企业环境状况，减少企业对周围环境的污染，并协调企业与政府环保部门的工作。</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2、建立企业环境保护网，由企业领导和企业环保员组成，定期召开企业环保情况报告会和专题会议，负责贯彻会议决定，共同搞好本企业的环境保护工作。</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3、企业环境保护机构配备必须的环保专业技术人员，并保持相对稳定。设置一名厂级领导来分管环境保护工作，并指定若千名专职环保技术员，协助领导工作。环保机构只能加强，不能削弱。</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2.2监测项目</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(1)废水</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监测布点:  污水处理站污水进出口:</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监测项目: pH、sS、COD、BOD、 NH-N、石油类、挥发酚、氟化物、铅、镉、镍、废水量等:</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监测时间:定期监测，每季1次。(2)废气</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监测布点:烟气排放口、生产车间、无组织排放点、厂界;</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监测项目:烟气量、颗粒物、SO2、 NO3、氟化物、铅、镉、镍、氯化物、H2S、酚类等;</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监测时间:排放口在线连续监测，生产车间、无组织排放点每季1次。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噪声</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监测布点:主要噪声源、生产车间、厂界;监测项目:等效连续A声级:</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监测时间:每季1次，分昼夜进行，根据监测结果分析设备运行状况，(4)固体废物</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监测布点:厂区内;</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监测项目:固体废物的产生与去向情况;</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监测时间:每天填写废物产生量报表，并说明废物的去向和资源化情况，14.2.2.5环境质量监测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(1)地表水</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监测布点:虾山涌、马山水库;</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监测项目: pH、ss COD BOD、NH-N、石油类、挥发酚、硫化物、铅、镉、镍等;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监测时间:分枯水、丰水期各监测一次，全年共2次。</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大气</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监测布点: 项目位置、炭厂垅、维新村、坡埒等敏感点:</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监测项目: SO2、 NO2、PM1o、TSP、 氟化物、铅、镉、镍、HCI等:监测时间:夏季、冬季各监测一一次，全年共2次。14.2.2.6事故应急 监测</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在本项目废水或废气发生事故排放时，必须及时采取应急措施，并通报环保主告门和当地居民，同时进行应急监测。</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(1)废水污染源</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监测布点:污水处理站污水进出口;</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监测项目: pH、SS、COD、BOD、NH3-N、石油类、挥发酚、氟化物、铅、镉、镍、废水量等;</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监测时间:每4h一次，直至解除事故应急状态，地表水体中污染物浓度回复正常水平。</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(2)地表水环境</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监测布点:虾山涌、马山水库;</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监测项目: pH、ss、COD、BOD、NH3-N、 石油类、挥发酚、硫化物、氟化孙铅、镉、镍等;</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监测时间:每4h一次，水平。</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直至解除</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事故应急状态，地表水体中污染物浓度回复正常</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(3)废气污染源</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监测布点:烟气排放口、</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生产车间、无组织排放点、厂界界:</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监测项目:烟气量、颗权物、SO2.NOy、氟化物、铅、锅、镍、氯化物、H2S、酚类等;</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监测时间: 排放口在线连续监测，小时值年天采样监洲4次，日均值每天采样1次，直至解除事故应急状态，大气中污染物浓度位回复正常水平。</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(4)大气环境</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监测布点:炭厂垅、维新村、坡坪等敏感点;</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监测项目: SO2、 NO2、PM1o、 TSP、氟化物、铅、镉、镍、HCI等;</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监测时间:小时值每天采样监测4次，日均值每天采样1次，直至解除事故应急状态，大气中污染物浓度值回复正常水平。</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anchor distT="0" distB="0" distL="114300" distR="114300" simplePos="0" relativeHeight="251659264" behindDoc="1" locked="0" layoutInCell="1" allowOverlap="1">
            <wp:simplePos x="0" y="0"/>
            <wp:positionH relativeFrom="column">
              <wp:posOffset>-118745</wp:posOffset>
            </wp:positionH>
            <wp:positionV relativeFrom="paragraph">
              <wp:posOffset>4679950</wp:posOffset>
            </wp:positionV>
            <wp:extent cx="5271135" cy="1771650"/>
            <wp:effectExtent l="0" t="0" r="5715" b="0"/>
            <wp:wrapTight wrapText="bothSides">
              <wp:wrapPolygon>
                <wp:start x="0" y="0"/>
                <wp:lineTo x="0" y="21368"/>
                <wp:lineTo x="21545" y="21368"/>
                <wp:lineTo x="21545" y="0"/>
                <wp:lineTo x="0" y="0"/>
              </wp:wrapPolygon>
            </wp:wrapTight>
            <wp:docPr id="4" name="图片 4" descr="3449d0e0fec5bd755cc95de52e74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49d0e0fec5bd755cc95de52e741f2"/>
                    <pic:cNvPicPr>
                      <a:picLocks noChangeAspect="1"/>
                    </pic:cNvPicPr>
                  </pic:nvPicPr>
                  <pic:blipFill>
                    <a:blip r:embed="rId4"/>
                    <a:stretch>
                      <a:fillRect/>
                    </a:stretch>
                  </pic:blipFill>
                  <pic:spPr>
                    <a:xfrm>
                      <a:off x="0" y="0"/>
                      <a:ext cx="5271135" cy="1771650"/>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58240" behindDoc="1" locked="0" layoutInCell="1" allowOverlap="1">
            <wp:simplePos x="0" y="0"/>
            <wp:positionH relativeFrom="column">
              <wp:posOffset>-109855</wp:posOffset>
            </wp:positionH>
            <wp:positionV relativeFrom="paragraph">
              <wp:posOffset>92710</wp:posOffset>
            </wp:positionV>
            <wp:extent cx="5267960" cy="4590415"/>
            <wp:effectExtent l="0" t="0" r="8890" b="635"/>
            <wp:wrapTight wrapText="bothSides">
              <wp:wrapPolygon>
                <wp:start x="0" y="0"/>
                <wp:lineTo x="0" y="21513"/>
                <wp:lineTo x="21558" y="21513"/>
                <wp:lineTo x="21558" y="0"/>
                <wp:lineTo x="0" y="0"/>
              </wp:wrapPolygon>
            </wp:wrapTight>
            <wp:docPr id="3" name="图片 3" descr="636d205cdcbd84ed2a1a8f740556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6d205cdcbd84ed2a1a8f740556b55"/>
                    <pic:cNvPicPr>
                      <a:picLocks noChangeAspect="1"/>
                    </pic:cNvPicPr>
                  </pic:nvPicPr>
                  <pic:blipFill>
                    <a:blip r:embed="rId5"/>
                    <a:stretch>
                      <a:fillRect/>
                    </a:stretch>
                  </pic:blipFill>
                  <pic:spPr>
                    <a:xfrm>
                      <a:off x="0" y="0"/>
                      <a:ext cx="5267960" cy="4590415"/>
                    </a:xfrm>
                    <a:prstGeom prst="rect">
                      <a:avLst/>
                    </a:prstGeom>
                  </pic:spPr>
                </pic:pic>
              </a:graphicData>
            </a:graphic>
          </wp:anchor>
        </w:drawing>
      </w:r>
      <w:r>
        <w:rPr>
          <w:rFonts w:hint="eastAsia" w:ascii="宋体" w:hAnsi="宋体" w:eastAsia="宋体" w:cs="宋体"/>
          <w:b w:val="0"/>
          <w:bCs w:val="0"/>
          <w:sz w:val="24"/>
          <w:szCs w:val="24"/>
          <w:lang w:val="en-US" w:eastAsia="zh-CN"/>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b w:val="0"/>
          <w:bCs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8731BD"/>
    <w:multiLevelType w:val="singleLevel"/>
    <w:tmpl w:val="878731BD"/>
    <w:lvl w:ilvl="0" w:tentative="0">
      <w:start w:val="1"/>
      <w:numFmt w:val="decimal"/>
      <w:suff w:val="nothing"/>
      <w:lvlText w:val="%1、"/>
      <w:lvlJc w:val="left"/>
    </w:lvl>
  </w:abstractNum>
  <w:abstractNum w:abstractNumId="1">
    <w:nsid w:val="A4C4AA85"/>
    <w:multiLevelType w:val="singleLevel"/>
    <w:tmpl w:val="A4C4AA85"/>
    <w:lvl w:ilvl="0" w:tentative="0">
      <w:start w:val="3"/>
      <w:numFmt w:val="decimal"/>
      <w:lvlText w:val="(%1)"/>
      <w:lvlJc w:val="left"/>
      <w:pPr>
        <w:tabs>
          <w:tab w:val="left" w:pos="312"/>
        </w:tabs>
      </w:pPr>
    </w:lvl>
  </w:abstractNum>
  <w:abstractNum w:abstractNumId="2">
    <w:nsid w:val="0136545F"/>
    <w:multiLevelType w:val="singleLevel"/>
    <w:tmpl w:val="0136545F"/>
    <w:lvl w:ilvl="0" w:tentative="0">
      <w:start w:val="1"/>
      <w:numFmt w:val="chineseCounting"/>
      <w:suff w:val="nothing"/>
      <w:lvlText w:val="%1、"/>
      <w:lvlJc w:val="left"/>
      <w:rPr>
        <w:rFonts w:hint="eastAsia"/>
      </w:rPr>
    </w:lvl>
  </w:abstractNum>
  <w:abstractNum w:abstractNumId="3">
    <w:nsid w:val="17E2E5B7"/>
    <w:multiLevelType w:val="singleLevel"/>
    <w:tmpl w:val="17E2E5B7"/>
    <w:lvl w:ilvl="0" w:tentative="0">
      <w:start w:val="2"/>
      <w:numFmt w:val="decimal"/>
      <w:lvlText w:val="(%1)"/>
      <w:lvlJc w:val="left"/>
      <w:pPr>
        <w:tabs>
          <w:tab w:val="left" w:pos="312"/>
        </w:tabs>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760F1E"/>
    <w:rsid w:val="01EF6287"/>
    <w:rsid w:val="07694CFE"/>
    <w:rsid w:val="0C5401E8"/>
    <w:rsid w:val="111C4F22"/>
    <w:rsid w:val="1ECE69B9"/>
    <w:rsid w:val="2FAE6062"/>
    <w:rsid w:val="37A876EB"/>
    <w:rsid w:val="39307FD5"/>
    <w:rsid w:val="445719EB"/>
    <w:rsid w:val="48000C2B"/>
    <w:rsid w:val="53F95E11"/>
    <w:rsid w:val="57B72E45"/>
    <w:rsid w:val="7186537A"/>
    <w:rsid w:val="76760F1E"/>
    <w:rsid w:val="7FD36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Office_11.1.0.8642_F1E327BC-269C-435d-A152-05C5408002CA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2019-04-19T08:07:00Z</dcterms:created>
  <dc:creator>50低头</dc:creator>
  <cp:lastModifiedBy>50低头</cp:lastModifiedBy>
  <dcterms:modified xsi:type="dcterms:W3CDTF">2019-04-19T09:04:40Z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2052-11.1.0.8642</vt:lpwstr>
  </property>
</Properties>
</file>