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rPr>
      </w:pPr>
      <w:r>
        <w:rPr>
          <w:rFonts w:eastAsia="黑体"/>
        </w:rPr>
        <w:t>附件4</w:t>
      </w:r>
    </w:p>
    <w:p>
      <w:pPr>
        <w:widowControl/>
        <w:spacing w:line="700" w:lineRule="exact"/>
        <w:jc w:val="center"/>
        <w:rPr>
          <w:rFonts w:eastAsia="方正小标宋简体"/>
          <w:kern w:val="0"/>
          <w:sz w:val="44"/>
          <w:szCs w:val="44"/>
        </w:rPr>
      </w:pPr>
      <w:bookmarkStart w:id="0" w:name="_GoBack"/>
      <w:r>
        <w:rPr>
          <w:rFonts w:eastAsia="方正小标宋简体"/>
          <w:kern w:val="0"/>
          <w:sz w:val="44"/>
          <w:szCs w:val="44"/>
        </w:rPr>
        <w:t>外部性事项严控范围整合优化清单</w:t>
      </w:r>
    </w:p>
    <w:bookmarkEnd w:id="0"/>
    <w:tbl>
      <w:tblPr>
        <w:tblStyle w:val="3"/>
        <w:tblW w:w="13907" w:type="dxa"/>
        <w:tblInd w:w="93" w:type="dxa"/>
        <w:tblLayout w:type="fixed"/>
        <w:tblCellMar>
          <w:top w:w="0" w:type="dxa"/>
          <w:left w:w="108" w:type="dxa"/>
          <w:bottom w:w="0" w:type="dxa"/>
          <w:right w:w="108" w:type="dxa"/>
        </w:tblCellMar>
      </w:tblPr>
      <w:tblGrid>
        <w:gridCol w:w="771"/>
        <w:gridCol w:w="2221"/>
        <w:gridCol w:w="2035"/>
        <w:gridCol w:w="3919"/>
        <w:gridCol w:w="4961"/>
      </w:tblGrid>
      <w:tr>
        <w:tblPrEx>
          <w:tblLayout w:type="fixed"/>
          <w:tblCellMar>
            <w:top w:w="0" w:type="dxa"/>
            <w:left w:w="108" w:type="dxa"/>
            <w:bottom w:w="0" w:type="dxa"/>
            <w:right w:w="108" w:type="dxa"/>
          </w:tblCellMar>
        </w:tblPrEx>
        <w:trPr>
          <w:trHeight w:val="356" w:hRule="atLeast"/>
          <w:tblHeader/>
        </w:trPr>
        <w:tc>
          <w:tcPr>
            <w:tcW w:w="77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b/>
                <w:bCs/>
                <w:kern w:val="0"/>
                <w:sz w:val="24"/>
                <w:szCs w:val="24"/>
              </w:rPr>
            </w:pPr>
            <w:r>
              <w:rPr>
                <w:rFonts w:hint="eastAsia" w:ascii="仿宋_GB2312"/>
                <w:b/>
                <w:bCs/>
                <w:kern w:val="0"/>
                <w:sz w:val="24"/>
                <w:szCs w:val="24"/>
              </w:rPr>
              <w:t>序号</w:t>
            </w:r>
          </w:p>
        </w:tc>
        <w:tc>
          <w:tcPr>
            <w:tcW w:w="222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b/>
                <w:bCs/>
                <w:kern w:val="0"/>
                <w:sz w:val="24"/>
                <w:szCs w:val="24"/>
              </w:rPr>
            </w:pPr>
            <w:r>
              <w:rPr>
                <w:rFonts w:hint="eastAsia" w:ascii="仿宋_GB2312"/>
                <w:b/>
                <w:bCs/>
                <w:kern w:val="0"/>
                <w:sz w:val="24"/>
                <w:szCs w:val="24"/>
              </w:rPr>
              <w:t>事项名称</w:t>
            </w:r>
          </w:p>
        </w:tc>
        <w:tc>
          <w:tcPr>
            <w:tcW w:w="20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b/>
                <w:bCs/>
                <w:kern w:val="0"/>
                <w:sz w:val="24"/>
                <w:szCs w:val="24"/>
              </w:rPr>
            </w:pPr>
            <w:r>
              <w:rPr>
                <w:rFonts w:hint="eastAsia" w:ascii="仿宋_GB2312"/>
                <w:b/>
                <w:bCs/>
                <w:kern w:val="0"/>
                <w:sz w:val="24"/>
                <w:szCs w:val="24"/>
              </w:rPr>
              <w:t>实施部门</w:t>
            </w:r>
          </w:p>
        </w:tc>
        <w:tc>
          <w:tcPr>
            <w:tcW w:w="391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b/>
                <w:bCs/>
                <w:kern w:val="0"/>
                <w:sz w:val="24"/>
                <w:szCs w:val="24"/>
              </w:rPr>
            </w:pPr>
            <w:r>
              <w:rPr>
                <w:rFonts w:hint="eastAsia" w:ascii="仿宋_GB2312"/>
                <w:b/>
                <w:bCs/>
                <w:kern w:val="0"/>
                <w:sz w:val="24"/>
                <w:szCs w:val="24"/>
              </w:rPr>
              <w:t>依据</w:t>
            </w:r>
          </w:p>
        </w:tc>
        <w:tc>
          <w:tcPr>
            <w:tcW w:w="496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b/>
                <w:bCs/>
                <w:kern w:val="0"/>
                <w:sz w:val="24"/>
                <w:szCs w:val="24"/>
              </w:rPr>
            </w:pPr>
            <w:r>
              <w:rPr>
                <w:rFonts w:hint="eastAsia" w:ascii="仿宋_GB2312"/>
                <w:b/>
                <w:bCs/>
                <w:kern w:val="0"/>
                <w:sz w:val="24"/>
                <w:szCs w:val="24"/>
              </w:rPr>
              <w:t>备  注</w:t>
            </w:r>
          </w:p>
        </w:tc>
      </w:tr>
      <w:tr>
        <w:tblPrEx>
          <w:tblLayout w:type="fixed"/>
          <w:tblCellMar>
            <w:top w:w="0" w:type="dxa"/>
            <w:left w:w="108" w:type="dxa"/>
            <w:bottom w:w="0" w:type="dxa"/>
            <w:right w:w="108" w:type="dxa"/>
          </w:tblCellMar>
        </w:tblPrEx>
        <w:trPr>
          <w:trHeight w:val="1112"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企业（含外商）投资项目核准和招标核准</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市发展改革局</w:t>
            </w:r>
          </w:p>
          <w:p>
            <w:pPr>
              <w:widowControl/>
              <w:spacing w:line="300" w:lineRule="exact"/>
              <w:jc w:val="center"/>
              <w:rPr>
                <w:rFonts w:hint="eastAsia" w:ascii="仿宋_GB2312"/>
                <w:kern w:val="0"/>
                <w:sz w:val="20"/>
              </w:rPr>
            </w:pPr>
            <w:r>
              <w:rPr>
                <w:rFonts w:hint="eastAsia" w:ascii="仿宋_GB2312"/>
                <w:kern w:val="0"/>
                <w:sz w:val="20"/>
              </w:rPr>
              <w:t>市科工商务局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1.《企业投资项目核准和备案管理条例》</w:t>
            </w:r>
            <w:r>
              <w:rPr>
                <w:rFonts w:hint="eastAsia" w:ascii="仿宋_GB2312"/>
                <w:kern w:val="0"/>
                <w:sz w:val="20"/>
              </w:rPr>
              <w:br w:type="textWrapping"/>
            </w:r>
            <w:r>
              <w:rPr>
                <w:rFonts w:hint="eastAsia" w:ascii="仿宋_GB2312"/>
                <w:kern w:val="0"/>
                <w:sz w:val="20"/>
              </w:rPr>
              <w:t>2.《企业投资项目核准和备案管理办法》</w:t>
            </w:r>
            <w:r>
              <w:rPr>
                <w:rFonts w:hint="eastAsia" w:ascii="仿宋_GB2312"/>
                <w:kern w:val="0"/>
                <w:sz w:val="20"/>
              </w:rPr>
              <w:br w:type="textWrapping"/>
            </w:r>
            <w:r>
              <w:rPr>
                <w:rFonts w:hint="eastAsia" w:ascii="仿宋_GB2312"/>
                <w:kern w:val="0"/>
                <w:sz w:val="20"/>
              </w:rPr>
              <w:t>3.《中华人民共和国招标投标法》</w:t>
            </w:r>
            <w:r>
              <w:rPr>
                <w:rFonts w:hint="eastAsia" w:ascii="仿宋_GB2312"/>
                <w:kern w:val="0"/>
                <w:sz w:val="20"/>
              </w:rPr>
              <w:br w:type="textWrapping"/>
            </w:r>
            <w:r>
              <w:rPr>
                <w:rFonts w:hint="eastAsia" w:ascii="仿宋_GB2312"/>
                <w:kern w:val="0"/>
                <w:sz w:val="20"/>
              </w:rPr>
              <w:t>4.《中华人民共和国招标投标法实施条例》</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1.将“企业投资项目核准”与“依法必须招标项目的招标范围、招标方式和招标组织形式核准”等2项事项整合为“企业投资项目核准和招标核准”1项事项。</w:t>
            </w:r>
          </w:p>
          <w:p>
            <w:pPr>
              <w:widowControl/>
              <w:spacing w:line="300" w:lineRule="exact"/>
              <w:jc w:val="left"/>
              <w:rPr>
                <w:rFonts w:hint="eastAsia" w:ascii="仿宋_GB2312"/>
                <w:kern w:val="0"/>
                <w:sz w:val="20"/>
              </w:rPr>
            </w:pPr>
            <w:r>
              <w:rPr>
                <w:rFonts w:hint="eastAsia" w:ascii="仿宋_GB2312"/>
                <w:kern w:val="0"/>
                <w:sz w:val="20"/>
              </w:rPr>
              <w:t>2.《政府核准的投资项目目录》以外的项目，办理备案。</w:t>
            </w:r>
          </w:p>
        </w:tc>
      </w:tr>
      <w:tr>
        <w:tblPrEx>
          <w:tblLayout w:type="fixed"/>
          <w:tblCellMar>
            <w:top w:w="0" w:type="dxa"/>
            <w:left w:w="108" w:type="dxa"/>
            <w:bottom w:w="0" w:type="dxa"/>
            <w:right w:w="108" w:type="dxa"/>
          </w:tblCellMar>
        </w:tblPrEx>
        <w:trPr>
          <w:trHeight w:val="622"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2</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宗教活动场所内改建或者新建建筑物审批</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市民族宗教局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1.《宗教事务条例》</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p>
        </w:tc>
      </w:tr>
      <w:tr>
        <w:tblPrEx>
          <w:tblLayout w:type="fixed"/>
          <w:tblCellMar>
            <w:top w:w="0" w:type="dxa"/>
            <w:left w:w="108" w:type="dxa"/>
            <w:bottom w:w="0" w:type="dxa"/>
            <w:right w:w="108" w:type="dxa"/>
          </w:tblCellMar>
        </w:tblPrEx>
        <w:trPr>
          <w:trHeight w:val="622"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3</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安全技术防范系统设计方案核准</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市公安局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1.《广东省安全技术防范管理条例》</w:t>
            </w:r>
            <w:r>
              <w:rPr>
                <w:rFonts w:hint="eastAsia" w:ascii="仿宋_GB2312"/>
                <w:kern w:val="0"/>
                <w:sz w:val="20"/>
              </w:rPr>
              <w:br w:type="textWrapping"/>
            </w:r>
            <w:r>
              <w:rPr>
                <w:rFonts w:hint="eastAsia" w:ascii="仿宋_GB2312"/>
                <w:kern w:val="0"/>
                <w:sz w:val="20"/>
              </w:rPr>
              <w:t>2.《广东省安全技术防范管理实施办法》</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p>
        </w:tc>
      </w:tr>
      <w:tr>
        <w:tblPrEx>
          <w:tblLayout w:type="fixed"/>
          <w:tblCellMar>
            <w:top w:w="0" w:type="dxa"/>
            <w:left w:w="108" w:type="dxa"/>
            <w:bottom w:w="0" w:type="dxa"/>
            <w:right w:w="108" w:type="dxa"/>
          </w:tblCellMar>
        </w:tblPrEx>
        <w:trPr>
          <w:trHeight w:val="770"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4</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建设项目用地预审</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市国土资源局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1.《中华人民共和国土地管理法》</w:t>
            </w:r>
            <w:r>
              <w:rPr>
                <w:rFonts w:hint="eastAsia" w:ascii="仿宋_GB2312"/>
                <w:kern w:val="0"/>
                <w:sz w:val="20"/>
              </w:rPr>
              <w:br w:type="textWrapping"/>
            </w:r>
            <w:r>
              <w:rPr>
                <w:rFonts w:hint="eastAsia" w:ascii="仿宋_GB2312"/>
                <w:kern w:val="0"/>
                <w:sz w:val="20"/>
              </w:rPr>
              <w:t>2.《中华人民共和国土地管理法实施条例》</w:t>
            </w:r>
            <w:r>
              <w:rPr>
                <w:rFonts w:hint="eastAsia" w:ascii="仿宋_GB2312"/>
                <w:kern w:val="0"/>
                <w:sz w:val="20"/>
              </w:rPr>
              <w:br w:type="textWrapping"/>
            </w:r>
            <w:r>
              <w:rPr>
                <w:rFonts w:hint="eastAsia" w:ascii="仿宋_GB2312"/>
                <w:kern w:val="0"/>
                <w:sz w:val="20"/>
              </w:rPr>
              <w:t>3.《建设项目用地预审管理办法》</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p>
        </w:tc>
      </w:tr>
      <w:tr>
        <w:tblPrEx>
          <w:tblLayout w:type="fixed"/>
          <w:tblCellMar>
            <w:top w:w="0" w:type="dxa"/>
            <w:left w:w="108" w:type="dxa"/>
            <w:bottom w:w="0" w:type="dxa"/>
            <w:right w:w="108" w:type="dxa"/>
          </w:tblCellMar>
        </w:tblPrEx>
        <w:trPr>
          <w:trHeight w:val="1037"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5</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建设用地改变土地用途审批</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市国土资源局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1.《中华人民共和国土地管理法》</w:t>
            </w:r>
          </w:p>
          <w:p>
            <w:pPr>
              <w:widowControl/>
              <w:spacing w:line="300" w:lineRule="exact"/>
              <w:jc w:val="left"/>
              <w:rPr>
                <w:rFonts w:hint="eastAsia" w:ascii="仿宋_GB2312"/>
                <w:kern w:val="0"/>
                <w:sz w:val="20"/>
              </w:rPr>
            </w:pPr>
            <w:r>
              <w:rPr>
                <w:rFonts w:hint="eastAsia" w:ascii="仿宋_GB2312"/>
                <w:kern w:val="0"/>
                <w:sz w:val="20"/>
              </w:rPr>
              <w:t>2.《中华人民共和国城市房地产管理法》</w:t>
            </w:r>
          </w:p>
          <w:p>
            <w:pPr>
              <w:widowControl/>
              <w:spacing w:line="300" w:lineRule="exact"/>
              <w:jc w:val="left"/>
              <w:rPr>
                <w:rFonts w:hint="eastAsia" w:ascii="仿宋_GB2312"/>
                <w:kern w:val="0"/>
                <w:sz w:val="20"/>
              </w:rPr>
            </w:pPr>
            <w:r>
              <w:rPr>
                <w:rFonts w:hint="eastAsia" w:ascii="仿宋_GB2312"/>
                <w:kern w:val="0"/>
                <w:sz w:val="20"/>
              </w:rPr>
              <w:t>3.《中华人民共和国城镇国有土地使用权出让和转让暂行条例》</w:t>
            </w:r>
          </w:p>
          <w:p>
            <w:pPr>
              <w:widowControl/>
              <w:spacing w:line="300" w:lineRule="exact"/>
              <w:jc w:val="left"/>
              <w:rPr>
                <w:rFonts w:hint="eastAsia" w:ascii="仿宋_GB2312"/>
                <w:kern w:val="0"/>
                <w:sz w:val="20"/>
              </w:rPr>
            </w:pPr>
            <w:r>
              <w:rPr>
                <w:rFonts w:hint="eastAsia" w:ascii="仿宋_GB2312"/>
                <w:kern w:val="0"/>
                <w:sz w:val="20"/>
              </w:rPr>
              <w:t>4.《中华人民共和国土地管理法实施条例》</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p>
        </w:tc>
      </w:tr>
      <w:tr>
        <w:tblPrEx>
          <w:tblLayout w:type="fixed"/>
          <w:tblCellMar>
            <w:top w:w="0" w:type="dxa"/>
            <w:left w:w="108" w:type="dxa"/>
            <w:bottom w:w="0" w:type="dxa"/>
            <w:right w:w="108" w:type="dxa"/>
          </w:tblCellMar>
        </w:tblPrEx>
        <w:trPr>
          <w:trHeight w:val="1037"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6</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国有建设用地供地审核</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市国土资源局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1.《中华人民共和国土地管理法》</w:t>
            </w:r>
          </w:p>
          <w:p>
            <w:pPr>
              <w:widowControl/>
              <w:spacing w:line="300" w:lineRule="exact"/>
              <w:jc w:val="left"/>
              <w:rPr>
                <w:rFonts w:hint="eastAsia" w:ascii="仿宋_GB2312"/>
                <w:kern w:val="0"/>
                <w:sz w:val="20"/>
              </w:rPr>
            </w:pPr>
            <w:r>
              <w:rPr>
                <w:rFonts w:hint="eastAsia" w:ascii="仿宋_GB2312"/>
                <w:kern w:val="0"/>
                <w:sz w:val="20"/>
              </w:rPr>
              <w:t>2.《中华人民共和国土地管理法实施条例》</w:t>
            </w:r>
          </w:p>
          <w:p>
            <w:pPr>
              <w:widowControl/>
              <w:spacing w:line="300" w:lineRule="exact"/>
              <w:jc w:val="left"/>
              <w:rPr>
                <w:rFonts w:hint="eastAsia" w:ascii="仿宋_GB2312"/>
                <w:kern w:val="0"/>
                <w:sz w:val="20"/>
              </w:rPr>
            </w:pPr>
            <w:r>
              <w:rPr>
                <w:rFonts w:hint="eastAsia" w:ascii="仿宋_GB2312"/>
                <w:kern w:val="0"/>
                <w:sz w:val="20"/>
              </w:rPr>
              <w:t>3.《广东省实施〈中华人民共和国土地管理法〉办法》</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p>
        </w:tc>
      </w:tr>
      <w:tr>
        <w:tblPrEx>
          <w:tblLayout w:type="fixed"/>
          <w:tblCellMar>
            <w:top w:w="0" w:type="dxa"/>
            <w:left w:w="108" w:type="dxa"/>
            <w:bottom w:w="0" w:type="dxa"/>
            <w:right w:w="108" w:type="dxa"/>
          </w:tblCellMar>
        </w:tblPrEx>
        <w:trPr>
          <w:trHeight w:val="1037"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7</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建设项目压覆重要矿产资源审批</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市国土资源局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1.《中华人民共和国矿产资源法》</w:t>
            </w:r>
            <w:r>
              <w:rPr>
                <w:rFonts w:hint="eastAsia" w:ascii="仿宋_GB2312"/>
                <w:kern w:val="0"/>
                <w:sz w:val="20"/>
              </w:rPr>
              <w:br w:type="textWrapping"/>
            </w:r>
            <w:r>
              <w:rPr>
                <w:rFonts w:hint="eastAsia" w:ascii="仿宋_GB2312"/>
                <w:kern w:val="0"/>
                <w:sz w:val="20"/>
              </w:rPr>
              <w:t>2.《国土资源部关于进一步做好建设项目压覆重要矿产资源审批管理工作的通知》</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若省下放该项管理权限，将“压覆重要矿产资源审批” “压覆矿产资源核查”“矿产资源储量评审备案与登记手续”等事项归并办理，在办理用地审批时，由国土资源部门一并办理。</w:t>
            </w:r>
          </w:p>
        </w:tc>
      </w:tr>
      <w:tr>
        <w:tblPrEx>
          <w:tblLayout w:type="fixed"/>
          <w:tblCellMar>
            <w:top w:w="0" w:type="dxa"/>
            <w:left w:w="108" w:type="dxa"/>
            <w:bottom w:w="0" w:type="dxa"/>
            <w:right w:w="108" w:type="dxa"/>
          </w:tblCellMar>
        </w:tblPrEx>
        <w:trPr>
          <w:trHeight w:val="755"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8</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市政设施建设类审批</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市城管局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1.《城市道路管理条例》</w:t>
            </w:r>
            <w:r>
              <w:rPr>
                <w:rFonts w:hint="eastAsia" w:ascii="仿宋_GB2312"/>
                <w:kern w:val="0"/>
                <w:sz w:val="20"/>
              </w:rPr>
              <w:br w:type="textWrapping"/>
            </w:r>
            <w:r>
              <w:rPr>
                <w:rFonts w:hint="eastAsia" w:ascii="仿宋_GB2312"/>
                <w:kern w:val="0"/>
                <w:sz w:val="20"/>
              </w:rPr>
              <w:t>2.《城市桥梁检测和养护维修管理办法》</w:t>
            </w:r>
            <w:r>
              <w:rPr>
                <w:rFonts w:hint="eastAsia" w:ascii="仿宋_GB2312"/>
                <w:kern w:val="0"/>
                <w:sz w:val="20"/>
              </w:rPr>
              <w:br w:type="textWrapping"/>
            </w:r>
            <w:r>
              <w:rPr>
                <w:rFonts w:hint="eastAsia" w:ascii="仿宋_GB2312"/>
                <w:kern w:val="0"/>
                <w:sz w:val="20"/>
              </w:rPr>
              <w:t>3.《城镇排水与污水处理条例》</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1.将“占道施工交通组织方案审核”改为审批部门征求公安部门意见。</w:t>
            </w:r>
          </w:p>
        </w:tc>
      </w:tr>
      <w:tr>
        <w:tblPrEx>
          <w:tblLayout w:type="fixed"/>
          <w:tblCellMar>
            <w:top w:w="0" w:type="dxa"/>
            <w:left w:w="108" w:type="dxa"/>
            <w:bottom w:w="0" w:type="dxa"/>
            <w:right w:w="108" w:type="dxa"/>
          </w:tblCellMar>
        </w:tblPrEx>
        <w:trPr>
          <w:trHeight w:val="676"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9</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建筑工程施工许可证核发</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市住房和城乡建设局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1.《中华人民共和国建筑法》</w:t>
            </w:r>
            <w:r>
              <w:rPr>
                <w:rFonts w:hint="eastAsia" w:ascii="仿宋_GB2312"/>
                <w:kern w:val="0"/>
                <w:sz w:val="20"/>
              </w:rPr>
              <w:br w:type="textWrapping"/>
            </w:r>
            <w:r>
              <w:rPr>
                <w:rFonts w:hint="eastAsia" w:ascii="仿宋_GB2312"/>
                <w:kern w:val="0"/>
                <w:sz w:val="20"/>
              </w:rPr>
              <w:t>2.《建设工程质量管理条例》</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1.将“工程质量监督手续办理”合并到“建筑工程施工许可证核发”一并办理。</w:t>
            </w:r>
          </w:p>
        </w:tc>
      </w:tr>
      <w:tr>
        <w:tblPrEx>
          <w:tblLayout w:type="fixed"/>
          <w:tblCellMar>
            <w:top w:w="0" w:type="dxa"/>
            <w:left w:w="108" w:type="dxa"/>
            <w:bottom w:w="0" w:type="dxa"/>
            <w:right w:w="108" w:type="dxa"/>
          </w:tblCellMar>
        </w:tblPrEx>
        <w:trPr>
          <w:trHeight w:val="551"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10</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港区内港航设施使用岸线审批</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市交通运输局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1.《中华人民共和国港口法》</w:t>
            </w:r>
            <w:r>
              <w:rPr>
                <w:rFonts w:hint="eastAsia" w:ascii="仿宋_GB2312"/>
                <w:kern w:val="0"/>
                <w:sz w:val="20"/>
              </w:rPr>
              <w:br w:type="textWrapping"/>
            </w:r>
            <w:r>
              <w:rPr>
                <w:rFonts w:hint="eastAsia" w:ascii="仿宋_GB2312"/>
                <w:kern w:val="0"/>
                <w:sz w:val="20"/>
              </w:rPr>
              <w:t>2.《广东省港口管理条例》</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　</w:t>
            </w:r>
          </w:p>
        </w:tc>
      </w:tr>
      <w:tr>
        <w:tblPrEx>
          <w:tblLayout w:type="fixed"/>
          <w:tblCellMar>
            <w:top w:w="0" w:type="dxa"/>
            <w:left w:w="108" w:type="dxa"/>
            <w:bottom w:w="0" w:type="dxa"/>
            <w:right w:w="108" w:type="dxa"/>
          </w:tblCellMar>
        </w:tblPrEx>
        <w:trPr>
          <w:trHeight w:val="856"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11</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修建跨河、拦河、过河、临河建筑物审批</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市交通运输局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1.《中华人民共和国航道法》</w:t>
            </w:r>
            <w:r>
              <w:rPr>
                <w:rFonts w:hint="eastAsia" w:ascii="仿宋_GB2312"/>
                <w:kern w:val="0"/>
                <w:sz w:val="20"/>
              </w:rPr>
              <w:br w:type="textWrapping"/>
            </w:r>
            <w:r>
              <w:rPr>
                <w:rFonts w:hint="eastAsia" w:ascii="仿宋_GB2312"/>
                <w:kern w:val="0"/>
                <w:sz w:val="20"/>
              </w:rPr>
              <w:t>2.《中华人民共和国航道管理条例》</w:t>
            </w:r>
            <w:r>
              <w:rPr>
                <w:rFonts w:hint="eastAsia" w:ascii="仿宋_GB2312"/>
                <w:kern w:val="0"/>
                <w:sz w:val="20"/>
              </w:rPr>
              <w:br w:type="textWrapping"/>
            </w:r>
            <w:r>
              <w:rPr>
                <w:rFonts w:hint="eastAsia" w:ascii="仿宋_GB2312"/>
                <w:kern w:val="0"/>
                <w:sz w:val="20"/>
              </w:rPr>
              <w:t>3.《广东省航道管理条例》</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1.即“航道通航条件影响评价审核”。</w:t>
            </w:r>
          </w:p>
          <w:p>
            <w:pPr>
              <w:widowControl/>
              <w:spacing w:line="300" w:lineRule="exact"/>
              <w:jc w:val="left"/>
              <w:rPr>
                <w:rFonts w:hint="eastAsia" w:ascii="仿宋_GB2312"/>
                <w:kern w:val="0"/>
                <w:sz w:val="20"/>
              </w:rPr>
            </w:pPr>
            <w:r>
              <w:rPr>
                <w:rFonts w:hint="eastAsia" w:ascii="仿宋_GB2312"/>
                <w:kern w:val="0"/>
                <w:sz w:val="20"/>
              </w:rPr>
              <w:t>2.我市暂无管理权限，若省下放、委托相应管理权限，则按照本方案执行。</w:t>
            </w:r>
          </w:p>
        </w:tc>
      </w:tr>
      <w:tr>
        <w:tblPrEx>
          <w:tblLayout w:type="fixed"/>
          <w:tblCellMar>
            <w:top w:w="0" w:type="dxa"/>
            <w:left w:w="108" w:type="dxa"/>
            <w:bottom w:w="0" w:type="dxa"/>
            <w:right w:w="108" w:type="dxa"/>
          </w:tblCellMar>
        </w:tblPrEx>
        <w:trPr>
          <w:trHeight w:val="597"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12</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通航水域水上水下施工作业审批</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市交通运输局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1.《广东省航道管理条例》</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1.我市暂无管理权限，若省下放、委托相应管理权限，则按照本方案执行。</w:t>
            </w:r>
          </w:p>
        </w:tc>
      </w:tr>
      <w:tr>
        <w:tblPrEx>
          <w:tblLayout w:type="fixed"/>
          <w:tblCellMar>
            <w:top w:w="0" w:type="dxa"/>
            <w:left w:w="108" w:type="dxa"/>
            <w:bottom w:w="0" w:type="dxa"/>
            <w:right w:w="108" w:type="dxa"/>
          </w:tblCellMar>
        </w:tblPrEx>
        <w:trPr>
          <w:trHeight w:val="846"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13</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新建、改建、扩建从事港口危险货物作业的建设项目安全条件审查</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市交通运输局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1.《中华人民共和国安全生产法》</w:t>
            </w:r>
            <w:r>
              <w:rPr>
                <w:rFonts w:hint="eastAsia" w:ascii="仿宋_GB2312"/>
                <w:kern w:val="0"/>
                <w:sz w:val="20"/>
              </w:rPr>
              <w:br w:type="textWrapping"/>
            </w:r>
            <w:r>
              <w:rPr>
                <w:rFonts w:hint="eastAsia" w:ascii="仿宋_GB2312"/>
                <w:kern w:val="0"/>
                <w:sz w:val="20"/>
              </w:rPr>
              <w:t>2.《危险化学品安全管理条例》</w:t>
            </w:r>
            <w:r>
              <w:rPr>
                <w:rFonts w:hint="eastAsia" w:ascii="仿宋_GB2312"/>
                <w:kern w:val="0"/>
                <w:sz w:val="20"/>
              </w:rPr>
              <w:br w:type="textWrapping"/>
            </w:r>
            <w:r>
              <w:rPr>
                <w:rFonts w:hint="eastAsia" w:ascii="仿宋_GB2312"/>
                <w:kern w:val="0"/>
                <w:sz w:val="20"/>
              </w:rPr>
              <w:t>3.《港口危险货物安全管理规定》</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p>
        </w:tc>
      </w:tr>
      <w:tr>
        <w:tblPrEx>
          <w:tblLayout w:type="fixed"/>
          <w:tblCellMar>
            <w:top w:w="0" w:type="dxa"/>
            <w:left w:w="108" w:type="dxa"/>
            <w:bottom w:w="0" w:type="dxa"/>
            <w:right w:w="108" w:type="dxa"/>
          </w:tblCellMar>
        </w:tblPrEx>
        <w:trPr>
          <w:trHeight w:val="547"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14</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公路建设项目公路工程施工许可</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市交通运输局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1.《中华人民共和国公路法》</w:t>
            </w:r>
          </w:p>
          <w:p>
            <w:pPr>
              <w:widowControl/>
              <w:spacing w:line="300" w:lineRule="exact"/>
              <w:jc w:val="left"/>
              <w:rPr>
                <w:rFonts w:hint="eastAsia" w:ascii="仿宋_GB2312"/>
                <w:kern w:val="0"/>
                <w:sz w:val="20"/>
              </w:rPr>
            </w:pPr>
            <w:r>
              <w:rPr>
                <w:rFonts w:hint="eastAsia" w:ascii="仿宋_GB2312"/>
                <w:kern w:val="0"/>
                <w:sz w:val="20"/>
              </w:rPr>
              <w:t>2.《广东省公路条例》第十条</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p>
        </w:tc>
      </w:tr>
      <w:tr>
        <w:tblPrEx>
          <w:tblLayout w:type="fixed"/>
          <w:tblCellMar>
            <w:top w:w="0" w:type="dxa"/>
            <w:left w:w="108" w:type="dxa"/>
            <w:bottom w:w="0" w:type="dxa"/>
            <w:right w:w="108" w:type="dxa"/>
          </w:tblCellMar>
        </w:tblPrEx>
        <w:trPr>
          <w:trHeight w:val="547"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15</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交通建设项目施工图设计审查</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市交通运输局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1.《建设工程勘察设计管理条例》</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1.若省将该事项调整为第三方机构实施的强制评估事项，则按照第三方机构实施的强制评估事项的要求进行管理。</w:t>
            </w:r>
          </w:p>
        </w:tc>
      </w:tr>
      <w:tr>
        <w:tblPrEx>
          <w:tblLayout w:type="fixed"/>
          <w:tblCellMar>
            <w:top w:w="0" w:type="dxa"/>
            <w:left w:w="108" w:type="dxa"/>
            <w:bottom w:w="0" w:type="dxa"/>
            <w:right w:w="108" w:type="dxa"/>
          </w:tblCellMar>
        </w:tblPrEx>
        <w:trPr>
          <w:trHeight w:val="1081"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16</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移民安置规划审批</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市水务局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1.《大中型水利水电工程建设征地补偿和移民安置条例》</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1.将“对大中型水利水电工程移民安置规划大纲的审批”、“对大中型水利水电工程移民安置规划的审核”等2项整合为“移民安置规划审批”1项。</w:t>
            </w:r>
          </w:p>
        </w:tc>
      </w:tr>
      <w:tr>
        <w:tblPrEx>
          <w:tblLayout w:type="fixed"/>
          <w:tblCellMar>
            <w:top w:w="0" w:type="dxa"/>
            <w:left w:w="108" w:type="dxa"/>
            <w:bottom w:w="0" w:type="dxa"/>
            <w:right w:w="108" w:type="dxa"/>
          </w:tblCellMar>
        </w:tblPrEx>
        <w:trPr>
          <w:trHeight w:val="490"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17</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取水许可</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市水务局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1.《取水许可和水资源费征收管理条例》</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p>
        </w:tc>
      </w:tr>
      <w:tr>
        <w:tblPrEx>
          <w:tblLayout w:type="fixed"/>
          <w:tblCellMar>
            <w:top w:w="0" w:type="dxa"/>
            <w:left w:w="108" w:type="dxa"/>
            <w:bottom w:w="0" w:type="dxa"/>
            <w:right w:w="108" w:type="dxa"/>
          </w:tblCellMar>
        </w:tblPrEx>
        <w:trPr>
          <w:trHeight w:val="608"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18</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拆除、移动城镇排水与污水处理设施方案审核</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市水务局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1.《城市供水条例》</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1.该事项为“因工程建设需要拆除、改动、迁移供水、排水与污水处理设施审核”子项。</w:t>
            </w:r>
          </w:p>
        </w:tc>
      </w:tr>
      <w:tr>
        <w:tblPrEx>
          <w:tblLayout w:type="fixed"/>
          <w:tblCellMar>
            <w:top w:w="0" w:type="dxa"/>
            <w:left w:w="108" w:type="dxa"/>
            <w:bottom w:w="0" w:type="dxa"/>
            <w:right w:w="108" w:type="dxa"/>
          </w:tblCellMar>
        </w:tblPrEx>
        <w:trPr>
          <w:trHeight w:val="802"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19</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入河排污口设置审核</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市水务局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1.《中华人民共和国水法》</w:t>
            </w:r>
          </w:p>
          <w:p>
            <w:pPr>
              <w:widowControl/>
              <w:spacing w:line="300" w:lineRule="exact"/>
              <w:jc w:val="left"/>
              <w:rPr>
                <w:rFonts w:hint="eastAsia" w:ascii="仿宋_GB2312"/>
                <w:kern w:val="0"/>
                <w:sz w:val="20"/>
              </w:rPr>
            </w:pPr>
            <w:r>
              <w:rPr>
                <w:rFonts w:hint="eastAsia" w:ascii="仿宋_GB2312"/>
                <w:kern w:val="0"/>
                <w:sz w:val="20"/>
              </w:rPr>
              <w:t>2.《中华人民共和国水污染防治法》</w:t>
            </w:r>
          </w:p>
          <w:p>
            <w:pPr>
              <w:widowControl/>
              <w:spacing w:line="300" w:lineRule="exact"/>
              <w:jc w:val="left"/>
              <w:rPr>
                <w:rFonts w:hint="eastAsia" w:ascii="仿宋_GB2312"/>
                <w:kern w:val="0"/>
                <w:sz w:val="20"/>
              </w:rPr>
            </w:pPr>
            <w:r>
              <w:rPr>
                <w:rFonts w:hint="eastAsia" w:ascii="仿宋_GB2312"/>
                <w:kern w:val="0"/>
                <w:sz w:val="20"/>
              </w:rPr>
              <w:t xml:space="preserve">3.《入河排污口监督管理办法》           </w:t>
            </w:r>
          </w:p>
          <w:p>
            <w:pPr>
              <w:widowControl/>
              <w:spacing w:line="300" w:lineRule="exact"/>
              <w:jc w:val="left"/>
              <w:rPr>
                <w:rFonts w:hint="eastAsia" w:ascii="仿宋_GB2312"/>
                <w:kern w:val="0"/>
                <w:sz w:val="20"/>
              </w:rPr>
            </w:pPr>
            <w:r>
              <w:rPr>
                <w:rFonts w:hint="eastAsia" w:ascii="仿宋_GB2312"/>
                <w:kern w:val="0"/>
                <w:sz w:val="20"/>
              </w:rPr>
              <w:t>4.《广东省东江西江北江韩江流域水资源管理条例》</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p>
        </w:tc>
      </w:tr>
      <w:tr>
        <w:tblPrEx>
          <w:tblLayout w:type="fixed"/>
          <w:tblCellMar>
            <w:top w:w="0" w:type="dxa"/>
            <w:left w:w="108" w:type="dxa"/>
            <w:bottom w:w="0" w:type="dxa"/>
            <w:right w:w="108" w:type="dxa"/>
          </w:tblCellMar>
        </w:tblPrEx>
        <w:trPr>
          <w:trHeight w:val="1084"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20</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建设项目使用林地及在林业部门管理的自然保护区、沙化土地封禁保护区建设审批（核）</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市林业局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1.《中华人民共和国森林法》</w:t>
            </w:r>
            <w:r>
              <w:rPr>
                <w:rFonts w:hint="eastAsia" w:ascii="仿宋_GB2312"/>
                <w:kern w:val="0"/>
                <w:sz w:val="20"/>
              </w:rPr>
              <w:br w:type="textWrapping"/>
            </w:r>
            <w:r>
              <w:rPr>
                <w:rFonts w:hint="eastAsia" w:ascii="仿宋_GB2312"/>
                <w:kern w:val="0"/>
                <w:sz w:val="20"/>
              </w:rPr>
              <w:t>2.《中华人民共和国森林法实施条例》</w:t>
            </w:r>
            <w:r>
              <w:rPr>
                <w:rFonts w:hint="eastAsia" w:ascii="仿宋_GB2312"/>
                <w:kern w:val="0"/>
                <w:sz w:val="20"/>
              </w:rPr>
              <w:br w:type="textWrapping"/>
            </w:r>
            <w:r>
              <w:rPr>
                <w:rFonts w:hint="eastAsia" w:ascii="仿宋_GB2312"/>
                <w:kern w:val="0"/>
                <w:sz w:val="20"/>
              </w:rPr>
              <w:t>3.《中华人民共和国自然保护区条例》</w:t>
            </w:r>
            <w:r>
              <w:rPr>
                <w:rFonts w:hint="eastAsia" w:ascii="仿宋_GB2312"/>
                <w:kern w:val="0"/>
                <w:sz w:val="20"/>
              </w:rPr>
              <w:br w:type="textWrapping"/>
            </w:r>
            <w:r>
              <w:rPr>
                <w:rFonts w:hint="eastAsia" w:ascii="仿宋_GB2312"/>
                <w:kern w:val="0"/>
                <w:sz w:val="20"/>
              </w:rPr>
              <w:t>4.《建设项目使用林地审核审批管理规范》</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1.待省级权限下放后实施，暂按照省的要求执行。</w:t>
            </w:r>
          </w:p>
        </w:tc>
      </w:tr>
      <w:tr>
        <w:tblPrEx>
          <w:tblLayout w:type="fixed"/>
          <w:tblCellMar>
            <w:top w:w="0" w:type="dxa"/>
            <w:left w:w="108" w:type="dxa"/>
            <w:bottom w:w="0" w:type="dxa"/>
            <w:right w:w="108" w:type="dxa"/>
          </w:tblCellMar>
        </w:tblPrEx>
        <w:trPr>
          <w:trHeight w:val="844"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21</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工程建设涉及城市绿地、树木审批</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市城管局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1.《城市绿化条例》</w:t>
            </w:r>
            <w:r>
              <w:rPr>
                <w:rFonts w:hint="eastAsia" w:ascii="仿宋_GB2312"/>
                <w:kern w:val="0"/>
                <w:sz w:val="20"/>
              </w:rPr>
              <w:br w:type="textWrapping"/>
            </w:r>
            <w:r>
              <w:rPr>
                <w:rFonts w:hint="eastAsia" w:ascii="仿宋_GB2312"/>
                <w:kern w:val="0"/>
                <w:sz w:val="20"/>
              </w:rPr>
              <w:t>2.《广东省城市绿化条例》</w:t>
            </w:r>
            <w:r>
              <w:rPr>
                <w:rFonts w:hint="eastAsia" w:ascii="仿宋_GB2312"/>
                <w:kern w:val="0"/>
                <w:sz w:val="20"/>
              </w:rPr>
              <w:br w:type="textWrapping"/>
            </w:r>
            <w:r>
              <w:rPr>
                <w:rFonts w:hint="eastAsia" w:ascii="仿宋_GB2312"/>
                <w:kern w:val="0"/>
                <w:sz w:val="20"/>
              </w:rPr>
              <w:t>3.《城市古树名木保护管理办法》</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1.待“古树名木移植审核审批”省级权限下放后，将“古树名木移植审核审批”整合到“工程建设涉及城市绿地、树木审批”一并办理。</w:t>
            </w:r>
          </w:p>
        </w:tc>
      </w:tr>
      <w:tr>
        <w:tblPrEx>
          <w:tblLayout w:type="fixed"/>
          <w:tblCellMar>
            <w:top w:w="0" w:type="dxa"/>
            <w:left w:w="108" w:type="dxa"/>
            <w:bottom w:w="0" w:type="dxa"/>
            <w:right w:w="108" w:type="dxa"/>
          </w:tblCellMar>
        </w:tblPrEx>
        <w:trPr>
          <w:trHeight w:val="661"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22</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海域使用权的审核、审批</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市农业局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1.《中华人民共和国海域使用管理法》</w:t>
            </w:r>
            <w:r>
              <w:rPr>
                <w:rFonts w:hint="eastAsia" w:ascii="仿宋_GB2312"/>
                <w:kern w:val="0"/>
                <w:sz w:val="20"/>
              </w:rPr>
              <w:br w:type="textWrapping"/>
            </w:r>
            <w:r>
              <w:rPr>
                <w:rFonts w:hint="eastAsia" w:ascii="仿宋_GB2312"/>
                <w:kern w:val="0"/>
                <w:sz w:val="20"/>
              </w:rPr>
              <w:t>2.《广东省海域使用管理条例》</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p>
        </w:tc>
      </w:tr>
      <w:tr>
        <w:tblPrEx>
          <w:tblLayout w:type="fixed"/>
          <w:tblCellMar>
            <w:top w:w="0" w:type="dxa"/>
            <w:left w:w="108" w:type="dxa"/>
            <w:bottom w:w="0" w:type="dxa"/>
            <w:right w:w="108" w:type="dxa"/>
          </w:tblCellMar>
        </w:tblPrEx>
        <w:trPr>
          <w:trHeight w:val="459"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23</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无居民海岛开发利用审查</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市农业局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1.《中华人民共和国海岛保护法》</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p>
        </w:tc>
      </w:tr>
      <w:tr>
        <w:tblPrEx>
          <w:tblLayout w:type="fixed"/>
          <w:tblCellMar>
            <w:top w:w="0" w:type="dxa"/>
            <w:left w:w="108" w:type="dxa"/>
            <w:bottom w:w="0" w:type="dxa"/>
            <w:right w:w="108" w:type="dxa"/>
          </w:tblCellMar>
        </w:tblPrEx>
        <w:trPr>
          <w:trHeight w:val="834"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24</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建设项目选址意见书核发</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市城乡规划局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1.《中华人民共和国城乡规划法》</w:t>
            </w:r>
            <w:r>
              <w:rPr>
                <w:rFonts w:hint="eastAsia" w:ascii="仿宋_GB2312"/>
                <w:kern w:val="0"/>
                <w:sz w:val="20"/>
              </w:rPr>
              <w:br w:type="textWrapping"/>
            </w:r>
            <w:r>
              <w:rPr>
                <w:rFonts w:hint="eastAsia" w:ascii="仿宋_GB2312"/>
                <w:kern w:val="0"/>
                <w:sz w:val="20"/>
              </w:rPr>
              <w:t>2.《广东省城乡规划条例》</w:t>
            </w:r>
            <w:r>
              <w:rPr>
                <w:rFonts w:hint="eastAsia" w:ascii="仿宋_GB2312"/>
                <w:kern w:val="0"/>
                <w:sz w:val="20"/>
              </w:rPr>
              <w:br w:type="textWrapping"/>
            </w:r>
            <w:r>
              <w:rPr>
                <w:rFonts w:hint="eastAsia" w:ascii="仿宋_GB2312"/>
                <w:kern w:val="0"/>
                <w:sz w:val="20"/>
              </w:rPr>
              <w:t>3.《风景名胜区条例》</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p>
        </w:tc>
      </w:tr>
      <w:tr>
        <w:tblPrEx>
          <w:tblLayout w:type="fixed"/>
          <w:tblCellMar>
            <w:top w:w="0" w:type="dxa"/>
            <w:left w:w="108" w:type="dxa"/>
            <w:bottom w:w="0" w:type="dxa"/>
            <w:right w:w="108" w:type="dxa"/>
          </w:tblCellMar>
        </w:tblPrEx>
        <w:trPr>
          <w:trHeight w:val="540"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25</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建设用地（含临时用地）规划许可证核发</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市城乡规划局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1.《中华人民共和国城乡规划法》</w:t>
            </w:r>
            <w:r>
              <w:rPr>
                <w:rFonts w:hint="eastAsia" w:ascii="仿宋_GB2312"/>
                <w:kern w:val="0"/>
                <w:sz w:val="20"/>
              </w:rPr>
              <w:br w:type="textWrapping"/>
            </w:r>
            <w:r>
              <w:rPr>
                <w:rFonts w:hint="eastAsia" w:ascii="仿宋_GB2312"/>
                <w:kern w:val="0"/>
                <w:sz w:val="20"/>
              </w:rPr>
              <w:t>2.《广东省城乡规划条例》</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　</w:t>
            </w:r>
          </w:p>
        </w:tc>
      </w:tr>
      <w:tr>
        <w:tblPrEx>
          <w:tblLayout w:type="fixed"/>
          <w:tblCellMar>
            <w:top w:w="0" w:type="dxa"/>
            <w:left w:w="108" w:type="dxa"/>
            <w:bottom w:w="0" w:type="dxa"/>
            <w:right w:w="108" w:type="dxa"/>
          </w:tblCellMar>
        </w:tblPrEx>
        <w:trPr>
          <w:trHeight w:val="598"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26</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乡村建设规划许可证核发</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市城乡规划局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1.《中华人民共和国城乡规划法》</w:t>
            </w:r>
            <w:r>
              <w:rPr>
                <w:rFonts w:hint="eastAsia" w:ascii="仿宋_GB2312"/>
                <w:kern w:val="0"/>
                <w:sz w:val="20"/>
              </w:rPr>
              <w:br w:type="textWrapping"/>
            </w:r>
            <w:r>
              <w:rPr>
                <w:rFonts w:hint="eastAsia" w:ascii="仿宋_GB2312"/>
                <w:kern w:val="0"/>
                <w:sz w:val="20"/>
              </w:rPr>
              <w:t>2.《广东省城乡规划条例》</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　</w:t>
            </w:r>
          </w:p>
        </w:tc>
      </w:tr>
      <w:tr>
        <w:tblPrEx>
          <w:tblLayout w:type="fixed"/>
          <w:tblCellMar>
            <w:top w:w="0" w:type="dxa"/>
            <w:left w:w="108" w:type="dxa"/>
            <w:bottom w:w="0" w:type="dxa"/>
            <w:right w:w="108" w:type="dxa"/>
          </w:tblCellMar>
        </w:tblPrEx>
        <w:trPr>
          <w:trHeight w:val="1527" w:hRule="atLeast"/>
        </w:trPr>
        <w:tc>
          <w:tcPr>
            <w:tcW w:w="77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27</w:t>
            </w:r>
          </w:p>
        </w:tc>
        <w:tc>
          <w:tcPr>
            <w:tcW w:w="222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建设工程消防设计审核</w:t>
            </w:r>
          </w:p>
        </w:tc>
        <w:tc>
          <w:tcPr>
            <w:tcW w:w="203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市公安局</w:t>
            </w:r>
          </w:p>
        </w:tc>
        <w:tc>
          <w:tcPr>
            <w:tcW w:w="391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1.《中华人民共和国消防法》</w:t>
            </w:r>
          </w:p>
        </w:tc>
        <w:tc>
          <w:tcPr>
            <w:tcW w:w="496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1.《建设工程消防监督管理规定》第十三、十四条规定的项目办理消防设计审核手续，其他项目办理消防设计备案手续即可。</w:t>
            </w:r>
            <w:r>
              <w:rPr>
                <w:rFonts w:hint="eastAsia" w:ascii="仿宋_GB2312"/>
                <w:kern w:val="0"/>
                <w:sz w:val="20"/>
              </w:rPr>
              <w:br w:type="textWrapping"/>
            </w:r>
            <w:r>
              <w:rPr>
                <w:rFonts w:hint="eastAsia" w:ascii="仿宋_GB2312"/>
                <w:kern w:val="0"/>
                <w:sz w:val="20"/>
              </w:rPr>
              <w:t>2.简化前置手续，部分项目可持县级以上人民政府出具的会议纪要作为建设工程规划许可证明文件，申请办理消防设计审核。</w:t>
            </w:r>
          </w:p>
        </w:tc>
      </w:tr>
      <w:tr>
        <w:tblPrEx>
          <w:tblLayout w:type="fixed"/>
          <w:tblCellMar>
            <w:top w:w="0" w:type="dxa"/>
            <w:left w:w="108" w:type="dxa"/>
            <w:bottom w:w="0" w:type="dxa"/>
            <w:right w:w="108" w:type="dxa"/>
          </w:tblCellMar>
        </w:tblPrEx>
        <w:trPr>
          <w:trHeight w:val="659" w:hRule="atLeast"/>
        </w:trPr>
        <w:tc>
          <w:tcPr>
            <w:tcW w:w="77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28</w:t>
            </w:r>
          </w:p>
        </w:tc>
        <w:tc>
          <w:tcPr>
            <w:tcW w:w="2221"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涉及国家安全事项的建设项目审批</w:t>
            </w:r>
          </w:p>
        </w:tc>
        <w:tc>
          <w:tcPr>
            <w:tcW w:w="203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市公安局</w:t>
            </w:r>
          </w:p>
        </w:tc>
        <w:tc>
          <w:tcPr>
            <w:tcW w:w="391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1.《中华人民共和国国家安全法》</w:t>
            </w:r>
            <w:r>
              <w:rPr>
                <w:rFonts w:hint="eastAsia" w:ascii="仿宋_GB2312"/>
                <w:kern w:val="0"/>
                <w:sz w:val="20"/>
              </w:rPr>
              <w:br w:type="textWrapping"/>
            </w:r>
            <w:r>
              <w:rPr>
                <w:rFonts w:hint="eastAsia" w:ascii="仿宋_GB2312"/>
                <w:kern w:val="0"/>
                <w:sz w:val="20"/>
              </w:rPr>
              <w:t>2.《广东省涉及国家安全事项的建设项目管理规定》</w:t>
            </w:r>
          </w:p>
        </w:tc>
        <w:tc>
          <w:tcPr>
            <w:tcW w:w="4961"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p>
        </w:tc>
      </w:tr>
      <w:tr>
        <w:tblPrEx>
          <w:tblLayout w:type="fixed"/>
          <w:tblCellMar>
            <w:top w:w="0" w:type="dxa"/>
            <w:left w:w="108" w:type="dxa"/>
            <w:bottom w:w="0" w:type="dxa"/>
            <w:right w:w="108" w:type="dxa"/>
          </w:tblCellMar>
        </w:tblPrEx>
        <w:trPr>
          <w:trHeight w:val="659" w:hRule="atLeast"/>
        </w:trPr>
        <w:tc>
          <w:tcPr>
            <w:tcW w:w="77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29</w:t>
            </w:r>
          </w:p>
        </w:tc>
        <w:tc>
          <w:tcPr>
            <w:tcW w:w="2221"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防雷装置设计审核</w:t>
            </w:r>
          </w:p>
        </w:tc>
        <w:tc>
          <w:tcPr>
            <w:tcW w:w="203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市气象局</w:t>
            </w:r>
          </w:p>
          <w:p>
            <w:pPr>
              <w:widowControl/>
              <w:spacing w:line="300" w:lineRule="exact"/>
              <w:jc w:val="center"/>
              <w:rPr>
                <w:rFonts w:hint="eastAsia" w:ascii="仿宋_GB2312"/>
                <w:kern w:val="0"/>
                <w:sz w:val="20"/>
              </w:rPr>
            </w:pPr>
            <w:r>
              <w:rPr>
                <w:rFonts w:hint="eastAsia" w:ascii="仿宋_GB2312"/>
                <w:kern w:val="0"/>
                <w:sz w:val="20"/>
              </w:rPr>
              <w:t>市住房城乡建设局</w:t>
            </w:r>
          </w:p>
          <w:p>
            <w:pPr>
              <w:widowControl/>
              <w:spacing w:line="300" w:lineRule="exact"/>
              <w:jc w:val="center"/>
              <w:rPr>
                <w:rFonts w:hint="eastAsia" w:ascii="仿宋_GB2312"/>
                <w:kern w:val="0"/>
                <w:sz w:val="20"/>
              </w:rPr>
            </w:pPr>
            <w:r>
              <w:rPr>
                <w:rFonts w:hint="eastAsia" w:ascii="仿宋_GB2312"/>
                <w:kern w:val="0"/>
                <w:sz w:val="20"/>
              </w:rPr>
              <w:t>第三方机构</w:t>
            </w:r>
          </w:p>
        </w:tc>
        <w:tc>
          <w:tcPr>
            <w:tcW w:w="391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1.《气象灾害防御条例》</w:t>
            </w:r>
            <w:r>
              <w:rPr>
                <w:rFonts w:hint="eastAsia" w:ascii="仿宋_GB2312"/>
                <w:kern w:val="0"/>
                <w:sz w:val="20"/>
              </w:rPr>
              <w:br w:type="textWrapping"/>
            </w:r>
            <w:r>
              <w:rPr>
                <w:rFonts w:hint="eastAsia" w:ascii="仿宋_GB2312"/>
                <w:kern w:val="0"/>
                <w:sz w:val="20"/>
              </w:rPr>
              <w:t>2.《国务院对确需保留的行政审批项目设定行政许可的决定》</w:t>
            </w:r>
          </w:p>
        </w:tc>
        <w:tc>
          <w:tcPr>
            <w:tcW w:w="4961"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1.委托或认定第三方机构实施的项目，继续由第三方机构办理。实施备案制管理的，继续按照备案制管理。</w:t>
            </w:r>
          </w:p>
        </w:tc>
      </w:tr>
      <w:tr>
        <w:tblPrEx>
          <w:tblLayout w:type="fixed"/>
          <w:tblCellMar>
            <w:top w:w="0" w:type="dxa"/>
            <w:left w:w="108" w:type="dxa"/>
            <w:bottom w:w="0" w:type="dxa"/>
            <w:right w:w="108" w:type="dxa"/>
          </w:tblCellMar>
        </w:tblPrEx>
        <w:trPr>
          <w:trHeight w:val="1059" w:hRule="atLeast"/>
        </w:trPr>
        <w:tc>
          <w:tcPr>
            <w:tcW w:w="77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30</w:t>
            </w:r>
          </w:p>
        </w:tc>
        <w:tc>
          <w:tcPr>
            <w:tcW w:w="2221"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竣工验收</w:t>
            </w:r>
          </w:p>
        </w:tc>
        <w:tc>
          <w:tcPr>
            <w:tcW w:w="203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kern w:val="0"/>
                <w:sz w:val="20"/>
              </w:rPr>
            </w:pPr>
            <w:r>
              <w:rPr>
                <w:rFonts w:hint="eastAsia" w:ascii="仿宋_GB2312"/>
                <w:kern w:val="0"/>
                <w:sz w:val="20"/>
              </w:rPr>
              <w:t>市住房城乡建设局、市交通运输局、市水务局、市公安局、市农业局、市卫生计生局、市城乡规划局、市人防办、市档案局、市气象局、市公安局等</w:t>
            </w:r>
          </w:p>
        </w:tc>
        <w:tc>
          <w:tcPr>
            <w:tcW w:w="391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1.《中华人民共和国城乡规划法》</w:t>
            </w:r>
            <w:r>
              <w:rPr>
                <w:rFonts w:hint="eastAsia" w:ascii="仿宋_GB2312"/>
                <w:kern w:val="0"/>
                <w:sz w:val="20"/>
              </w:rPr>
              <w:br w:type="textWrapping"/>
            </w:r>
            <w:r>
              <w:rPr>
                <w:rFonts w:hint="eastAsia" w:ascii="仿宋_GB2312"/>
                <w:kern w:val="0"/>
                <w:sz w:val="20"/>
              </w:rPr>
              <w:t>2.《中华人民共和国人民防空法》</w:t>
            </w:r>
            <w:r>
              <w:rPr>
                <w:rFonts w:hint="eastAsia" w:ascii="仿宋_GB2312"/>
                <w:kern w:val="0"/>
                <w:sz w:val="20"/>
              </w:rPr>
              <w:br w:type="textWrapping"/>
            </w:r>
            <w:r>
              <w:rPr>
                <w:rFonts w:hint="eastAsia" w:ascii="仿宋_GB2312"/>
                <w:kern w:val="0"/>
                <w:sz w:val="20"/>
              </w:rPr>
              <w:t>3.《中华人民共和国消防法》</w:t>
            </w:r>
            <w:r>
              <w:rPr>
                <w:rFonts w:hint="eastAsia" w:ascii="仿宋_GB2312"/>
                <w:kern w:val="0"/>
                <w:sz w:val="20"/>
              </w:rPr>
              <w:br w:type="textWrapping"/>
            </w:r>
            <w:r>
              <w:rPr>
                <w:rFonts w:hint="eastAsia" w:ascii="仿宋_GB2312"/>
                <w:kern w:val="0"/>
                <w:sz w:val="20"/>
              </w:rPr>
              <w:t>4.《中华人民共和国水污染防治法》</w:t>
            </w:r>
            <w:r>
              <w:rPr>
                <w:rFonts w:hint="eastAsia" w:ascii="仿宋_GB2312"/>
                <w:kern w:val="0"/>
                <w:sz w:val="20"/>
              </w:rPr>
              <w:br w:type="textWrapping"/>
            </w:r>
            <w:r>
              <w:rPr>
                <w:rFonts w:hint="eastAsia" w:ascii="仿宋_GB2312"/>
                <w:kern w:val="0"/>
                <w:sz w:val="20"/>
              </w:rPr>
              <w:t>5.《中华人民共和国环境影响评价法》</w:t>
            </w:r>
            <w:r>
              <w:rPr>
                <w:rFonts w:hint="eastAsia" w:ascii="仿宋_GB2312"/>
                <w:kern w:val="0"/>
                <w:sz w:val="20"/>
              </w:rPr>
              <w:br w:type="textWrapping"/>
            </w:r>
            <w:r>
              <w:rPr>
                <w:rFonts w:hint="eastAsia" w:ascii="仿宋_GB2312"/>
                <w:kern w:val="0"/>
                <w:sz w:val="20"/>
              </w:rPr>
              <w:t>6.《中华人民共和国海洋环境保护法》</w:t>
            </w:r>
            <w:r>
              <w:rPr>
                <w:rFonts w:hint="eastAsia" w:ascii="仿宋_GB2312"/>
                <w:kern w:val="0"/>
                <w:sz w:val="20"/>
              </w:rPr>
              <w:br w:type="textWrapping"/>
            </w:r>
            <w:r>
              <w:rPr>
                <w:rFonts w:hint="eastAsia" w:ascii="仿宋_GB2312"/>
                <w:kern w:val="0"/>
                <w:sz w:val="20"/>
              </w:rPr>
              <w:t>7.《中华人民共和国防震减灾法》</w:t>
            </w:r>
            <w:r>
              <w:rPr>
                <w:rFonts w:hint="eastAsia" w:ascii="仿宋_GB2312"/>
                <w:kern w:val="0"/>
                <w:sz w:val="20"/>
              </w:rPr>
              <w:br w:type="textWrapping"/>
            </w:r>
            <w:r>
              <w:rPr>
                <w:rFonts w:hint="eastAsia" w:ascii="仿宋_GB2312"/>
                <w:kern w:val="0"/>
                <w:sz w:val="20"/>
              </w:rPr>
              <w:t>8.《中华人民共和国职业病防治法》</w:t>
            </w:r>
            <w:r>
              <w:rPr>
                <w:rFonts w:hint="eastAsia" w:ascii="仿宋_GB2312"/>
                <w:kern w:val="0"/>
                <w:sz w:val="20"/>
              </w:rPr>
              <w:br w:type="textWrapping"/>
            </w:r>
            <w:r>
              <w:rPr>
                <w:rFonts w:hint="eastAsia" w:ascii="仿宋_GB2312"/>
                <w:kern w:val="0"/>
                <w:sz w:val="20"/>
              </w:rPr>
              <w:t>9.《中华人民共和国公路法》</w:t>
            </w:r>
            <w:r>
              <w:rPr>
                <w:rFonts w:hint="eastAsia" w:ascii="仿宋_GB2312"/>
                <w:kern w:val="0"/>
                <w:sz w:val="20"/>
              </w:rPr>
              <w:br w:type="textWrapping"/>
            </w:r>
            <w:r>
              <w:rPr>
                <w:rFonts w:hint="eastAsia" w:ascii="仿宋_GB2312"/>
                <w:kern w:val="0"/>
                <w:sz w:val="20"/>
              </w:rPr>
              <w:t>10.《中华人民共和国港口法》</w:t>
            </w:r>
            <w:r>
              <w:rPr>
                <w:rFonts w:hint="eastAsia" w:ascii="仿宋_GB2312"/>
                <w:kern w:val="0"/>
                <w:sz w:val="20"/>
              </w:rPr>
              <w:br w:type="textWrapping"/>
            </w:r>
            <w:r>
              <w:rPr>
                <w:rFonts w:hint="eastAsia" w:ascii="仿宋_GB2312"/>
                <w:kern w:val="0"/>
                <w:sz w:val="20"/>
              </w:rPr>
              <w:t>11.《中华人民共和国航道法》</w:t>
            </w:r>
            <w:r>
              <w:rPr>
                <w:rFonts w:hint="eastAsia" w:ascii="仿宋_GB2312"/>
                <w:kern w:val="0"/>
                <w:sz w:val="20"/>
              </w:rPr>
              <w:br w:type="textWrapping"/>
            </w:r>
            <w:r>
              <w:rPr>
                <w:rFonts w:hint="eastAsia" w:ascii="仿宋_GB2312"/>
                <w:kern w:val="0"/>
                <w:sz w:val="20"/>
              </w:rPr>
              <w:t>12.《中华人民共和国海域使用管理法》</w:t>
            </w:r>
            <w:r>
              <w:rPr>
                <w:rFonts w:hint="eastAsia" w:ascii="仿宋_GB2312"/>
                <w:kern w:val="0"/>
                <w:sz w:val="20"/>
              </w:rPr>
              <w:br w:type="textWrapping"/>
            </w:r>
            <w:r>
              <w:rPr>
                <w:rFonts w:hint="eastAsia" w:ascii="仿宋_GB2312"/>
                <w:kern w:val="0"/>
                <w:sz w:val="20"/>
              </w:rPr>
              <w:t>13.《中华人民共和国河道管理条例》</w:t>
            </w:r>
            <w:r>
              <w:rPr>
                <w:rFonts w:hint="eastAsia" w:ascii="仿宋_GB2312"/>
                <w:kern w:val="0"/>
                <w:sz w:val="20"/>
              </w:rPr>
              <w:br w:type="textWrapping"/>
            </w:r>
            <w:r>
              <w:rPr>
                <w:rFonts w:hint="eastAsia" w:ascii="仿宋_GB2312"/>
                <w:kern w:val="0"/>
                <w:sz w:val="20"/>
              </w:rPr>
              <w:t>14.《建设项目环境保护管理条例》</w:t>
            </w:r>
            <w:r>
              <w:rPr>
                <w:rFonts w:hint="eastAsia" w:ascii="仿宋_GB2312"/>
                <w:kern w:val="0"/>
                <w:sz w:val="20"/>
              </w:rPr>
              <w:br w:type="textWrapping"/>
            </w:r>
            <w:r>
              <w:rPr>
                <w:rFonts w:hint="eastAsia" w:ascii="仿宋_GB2312"/>
                <w:kern w:val="0"/>
                <w:sz w:val="20"/>
              </w:rPr>
              <w:t>15.《公共场所卫生管理条例》</w:t>
            </w:r>
            <w:r>
              <w:rPr>
                <w:rFonts w:hint="eastAsia" w:ascii="仿宋_GB2312"/>
                <w:kern w:val="0"/>
                <w:sz w:val="20"/>
              </w:rPr>
              <w:br w:type="textWrapping"/>
            </w:r>
            <w:r>
              <w:rPr>
                <w:rFonts w:hint="eastAsia" w:ascii="仿宋_GB2312"/>
                <w:kern w:val="0"/>
                <w:sz w:val="20"/>
              </w:rPr>
              <w:t>16.《气象灾害防御条例》</w:t>
            </w:r>
          </w:p>
          <w:p>
            <w:pPr>
              <w:widowControl/>
              <w:spacing w:line="300" w:lineRule="exact"/>
              <w:jc w:val="left"/>
              <w:rPr>
                <w:rFonts w:hint="eastAsia" w:ascii="仿宋_GB2312"/>
                <w:kern w:val="0"/>
                <w:sz w:val="20"/>
              </w:rPr>
            </w:pPr>
            <w:r>
              <w:rPr>
                <w:rFonts w:hint="eastAsia" w:ascii="仿宋_GB2312"/>
                <w:kern w:val="0"/>
                <w:sz w:val="20"/>
              </w:rPr>
              <w:t>17.《放射诊疗管理规定》</w:t>
            </w:r>
            <w:r>
              <w:rPr>
                <w:rFonts w:hint="eastAsia" w:ascii="仿宋_GB2312"/>
                <w:kern w:val="0"/>
                <w:sz w:val="20"/>
              </w:rPr>
              <w:br w:type="textWrapping"/>
            </w:r>
            <w:r>
              <w:rPr>
                <w:rFonts w:hint="eastAsia" w:ascii="仿宋_GB2312"/>
                <w:kern w:val="0"/>
                <w:sz w:val="20"/>
              </w:rPr>
              <w:t>18.《大中型水利水电工程建设征地补偿和移民安置条例》</w:t>
            </w:r>
            <w:r>
              <w:rPr>
                <w:rFonts w:hint="eastAsia" w:ascii="仿宋_GB2312"/>
                <w:kern w:val="0"/>
                <w:sz w:val="20"/>
              </w:rPr>
              <w:br w:type="textWrapping"/>
            </w:r>
            <w:r>
              <w:rPr>
                <w:rFonts w:hint="eastAsia" w:ascii="仿宋_GB2312"/>
                <w:kern w:val="0"/>
                <w:sz w:val="20"/>
              </w:rPr>
              <w:t>19.《广东省安全技术防范管理实施办法》</w:t>
            </w:r>
            <w:r>
              <w:rPr>
                <w:rFonts w:hint="eastAsia" w:ascii="仿宋_GB2312"/>
                <w:kern w:val="0"/>
                <w:sz w:val="20"/>
              </w:rPr>
              <w:br w:type="textWrapping"/>
            </w:r>
            <w:r>
              <w:rPr>
                <w:rFonts w:hint="eastAsia" w:ascii="仿宋_GB2312"/>
                <w:kern w:val="0"/>
                <w:sz w:val="20"/>
              </w:rPr>
              <w:t>20.《重大建设项目档案验收办法》</w:t>
            </w:r>
            <w:r>
              <w:rPr>
                <w:rFonts w:hint="eastAsia" w:ascii="仿宋_GB2312"/>
                <w:kern w:val="0"/>
                <w:sz w:val="20"/>
              </w:rPr>
              <w:br w:type="textWrapping"/>
            </w:r>
            <w:r>
              <w:rPr>
                <w:rFonts w:hint="eastAsia" w:ascii="仿宋_GB2312"/>
                <w:kern w:val="0"/>
                <w:sz w:val="20"/>
              </w:rPr>
              <w:t>21.《公路工程竣（交）工验收办法》</w:t>
            </w:r>
            <w:r>
              <w:rPr>
                <w:rFonts w:hint="eastAsia" w:ascii="仿宋_GB2312"/>
                <w:kern w:val="0"/>
                <w:sz w:val="20"/>
              </w:rPr>
              <w:br w:type="textWrapping"/>
            </w:r>
            <w:r>
              <w:rPr>
                <w:rFonts w:hint="eastAsia" w:ascii="仿宋_GB2312"/>
                <w:kern w:val="0"/>
                <w:sz w:val="20"/>
              </w:rPr>
              <w:t>22.《关于重新印发〈铁路建设项目竣工验收交接办法〉的通知》</w:t>
            </w:r>
            <w:r>
              <w:rPr>
                <w:rFonts w:hint="eastAsia" w:ascii="仿宋_GB2312"/>
                <w:kern w:val="0"/>
                <w:sz w:val="20"/>
              </w:rPr>
              <w:br w:type="textWrapping"/>
            </w:r>
            <w:r>
              <w:rPr>
                <w:rFonts w:hint="eastAsia" w:ascii="仿宋_GB2312"/>
                <w:kern w:val="0"/>
                <w:sz w:val="20"/>
              </w:rPr>
              <w:t>23.《港口工程竣工验收办法》</w:t>
            </w:r>
            <w:r>
              <w:rPr>
                <w:rFonts w:hint="eastAsia" w:ascii="仿宋_GB2312"/>
                <w:kern w:val="0"/>
                <w:sz w:val="20"/>
              </w:rPr>
              <w:br w:type="textWrapping"/>
            </w:r>
            <w:r>
              <w:rPr>
                <w:rFonts w:hint="eastAsia" w:ascii="仿宋_GB2312"/>
                <w:kern w:val="0"/>
                <w:sz w:val="20"/>
              </w:rPr>
              <w:t>24.《航道工程竣工验收管理办法》</w:t>
            </w:r>
            <w:r>
              <w:rPr>
                <w:rFonts w:hint="eastAsia" w:ascii="仿宋_GB2312"/>
                <w:kern w:val="0"/>
                <w:sz w:val="20"/>
              </w:rPr>
              <w:br w:type="textWrapping"/>
            </w:r>
            <w:r>
              <w:rPr>
                <w:rFonts w:hint="eastAsia" w:ascii="仿宋_GB2312"/>
                <w:kern w:val="0"/>
                <w:sz w:val="20"/>
              </w:rPr>
              <w:t>25.《取水许可和水资源费征收管理条例》</w:t>
            </w:r>
          </w:p>
        </w:tc>
        <w:tc>
          <w:tcPr>
            <w:tcW w:w="4961"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仿宋_GB2312"/>
                <w:kern w:val="0"/>
                <w:sz w:val="20"/>
              </w:rPr>
            </w:pPr>
            <w:r>
              <w:rPr>
                <w:rFonts w:hint="eastAsia" w:ascii="仿宋_GB2312"/>
                <w:kern w:val="0"/>
                <w:sz w:val="20"/>
              </w:rPr>
              <w:t>按照联合验收的要求组织实施。</w:t>
            </w:r>
          </w:p>
        </w:tc>
      </w:tr>
    </w:tbl>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5D0153"/>
    <w:rsid w:val="4B5D01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2019-01-04T02:02:00Z</dcterms:created>
  <dc:creator>lym</dc:creator>
  <cp:lastModifiedBy>lym</cp:lastModifiedBy>
  <dcterms:modified xsi:type="dcterms:W3CDTF">2019-01-04T02:04:44Z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