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pacing w:beforeAutospacing="0" w:afterAutospacing="0" w:line="580" w:lineRule="exact"/>
        <w:ind w:firstLine="420" w:firstLine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恩平市推动外贸高质量发展的十条措施</w:t>
      </w:r>
    </w:p>
    <w:p>
      <w:pPr>
        <w:pStyle w:val="4"/>
        <w:keepNext w:val="0"/>
        <w:keepLines w:val="0"/>
        <w:pageBreakBefore w:val="0"/>
        <w:widowControl/>
        <w:kinsoku/>
        <w:wordWrap/>
        <w:overflowPunct/>
        <w:topLinePunct w:val="0"/>
        <w:autoSpaceDE/>
        <w:autoSpaceDN/>
        <w:bidi w:val="0"/>
        <w:adjustRightInd/>
        <w:spacing w:beforeAutospacing="0" w:afterAutospacing="0" w:line="58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（征求意见稿）</w:t>
      </w:r>
    </w:p>
    <w:p>
      <w:pPr>
        <w:pStyle w:val="4"/>
        <w:keepNext w:val="0"/>
        <w:keepLines w:val="0"/>
        <w:pageBreakBefore w:val="0"/>
        <w:widowControl/>
        <w:kinsoku/>
        <w:wordWrap/>
        <w:overflowPunct/>
        <w:topLinePunct w:val="0"/>
        <w:autoSpaceDE/>
        <w:autoSpaceDN/>
        <w:bidi w:val="0"/>
        <w:adjustRightInd/>
        <w:spacing w:beforeAutospacing="0" w:afterAutospacing="0" w:line="58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000000"/>
          <w:kern w:val="0"/>
          <w:sz w:val="32"/>
          <w:szCs w:val="32"/>
          <w:lang w:val="en-US" w:eastAsia="zh-CN" w:bidi="ar-SA"/>
        </w:rPr>
        <w:t>为贯彻落实国</w:t>
      </w:r>
      <w:r>
        <w:rPr>
          <w:rFonts w:hint="eastAsia" w:ascii="仿宋" w:hAnsi="仿宋" w:eastAsia="仿宋" w:cs="仿宋"/>
          <w:color w:val="auto"/>
          <w:kern w:val="0"/>
          <w:sz w:val="32"/>
          <w:szCs w:val="32"/>
          <w:lang w:val="en-US" w:eastAsia="zh-CN" w:bidi="ar-SA"/>
        </w:rPr>
        <w:t>家、省和江门市关于推动外贸高质量发展工作的决策部署，积极扩大对外开放，推动我市外贸高质量发展，促进外贸快速稳定增长，根据</w:t>
      </w:r>
      <w:r>
        <w:rPr>
          <w:rFonts w:hint="eastAsia" w:ascii="仿宋" w:hAnsi="仿宋" w:eastAsia="仿宋" w:cs="仿宋"/>
          <w:b w:val="0"/>
          <w:bCs w:val="0"/>
          <w:color w:val="auto"/>
          <w:kern w:val="0"/>
          <w:sz w:val="32"/>
          <w:szCs w:val="32"/>
          <w:lang w:val="en-US" w:eastAsia="zh-CN" w:bidi="ar-SA"/>
        </w:rPr>
        <w:t>《国家税务总局关于进一步便利出口退税办理促进外贸平稳发展有关事项的公告》《</w:t>
      </w:r>
      <w:r>
        <w:rPr>
          <w:rFonts w:hint="eastAsia" w:ascii="仿宋" w:hAnsi="仿宋" w:eastAsia="仿宋" w:cs="仿宋"/>
          <w:b w:val="0"/>
          <w:bCs w:val="0"/>
          <w:color w:val="auto"/>
          <w:kern w:val="2"/>
          <w:sz w:val="32"/>
          <w:szCs w:val="32"/>
          <w:lang w:val="en-US" w:eastAsia="zh-CN" w:bidi="ar-SA"/>
        </w:rPr>
        <w:t>广东省促进外贸稳定增长若干政策措施》《江门市落实&lt;广东省促进外贸稳定增长若干政策措施&gt;实施方案》</w:t>
      </w:r>
      <w:r>
        <w:rPr>
          <w:rFonts w:hint="eastAsia" w:ascii="仿宋" w:hAnsi="仿宋" w:eastAsia="仿宋" w:cs="仿宋"/>
          <w:color w:val="auto"/>
          <w:kern w:val="0"/>
          <w:sz w:val="32"/>
          <w:szCs w:val="32"/>
          <w:lang w:val="en-US" w:eastAsia="zh-CN" w:bidi="ar-SA"/>
        </w:rPr>
        <w:t>《江门海关优化营商环境12条》</w:t>
      </w:r>
      <w:r>
        <w:rPr>
          <w:rFonts w:hint="eastAsia" w:ascii="仿宋" w:hAnsi="仿宋" w:eastAsia="仿宋" w:cs="仿宋"/>
          <w:b w:val="0"/>
          <w:bCs w:val="0"/>
          <w:color w:val="auto"/>
          <w:kern w:val="0"/>
          <w:sz w:val="32"/>
          <w:szCs w:val="32"/>
          <w:lang w:val="en-US" w:eastAsia="zh-CN" w:bidi="ar-SA"/>
        </w:rPr>
        <w:t>《江门市外贸高质量</w:t>
      </w:r>
      <w:r>
        <w:rPr>
          <w:rFonts w:hint="eastAsia" w:ascii="仿宋" w:hAnsi="仿宋" w:eastAsia="仿宋" w:cs="仿宋"/>
          <w:color w:val="auto"/>
          <w:kern w:val="0"/>
          <w:sz w:val="32"/>
          <w:szCs w:val="32"/>
          <w:lang w:val="en-US" w:eastAsia="zh-CN" w:bidi="ar-SA"/>
        </w:rPr>
        <w:t>创新发展资金实施细则》等有关规定，结合我市实际，现制定如下十条政策措施。</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支持拓展对外贸易通道</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持续深化国际贸易“单一窗口”应用，持续推广企业集团加工贸易监管模式，支持保税料件便利流转、保税货物自主存放、保税料件自行串换、全工序外发加工免收担保、不作价设备调配使用，推动加工贸易便利化，推动加工贸易提档升级。推行海关“关长送政策上门”、关地企“直通车”机制。加快推广“组合港”“湾区一港通”模式。</w:t>
      </w:r>
    </w:p>
    <w:p>
      <w:pPr>
        <w:keepNext w:val="0"/>
        <w:keepLines w:val="0"/>
        <w:pageBreakBefore w:val="0"/>
        <w:widowControl w:val="0"/>
        <w:numPr>
          <w:ilvl w:val="0"/>
          <w:numId w:val="1"/>
        </w:numPr>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支持对接自由贸易协定</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深入开展调查研究，密切跟踪优惠贸易协定关税政策落实情况，聚焦重点行业和企业分类施策、精准帮扶，每季度至少组织一次政策宣讲会，宣讲解读RCEP等优惠贸易协定关税减让政策，指导企业充分利用原产地规则享惠。大力推广经核准出口商制度，服务企业享受自主开具原产地声明便利。</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三、支持企业开拓海外市场</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对企业参加《江门市重点展览计划》《恩平市重点展览计划》的境外展览会相关费用给予支持。对于企业在展览会的小批量采购专区进行整体宣传展示的，按每个展示项目费用的70%给予支持，最高支持0.6万元。</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（二）对于企业通过《江门市重点展览计划》《恩平市重点展览计划》境外展览会的刊物、平台等进行企业形象和品牌宣传的，按每家企业每个项目费用的50%给予支持，最高支持1.5万元。</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三）对于企业参加《江门市重点展览计划》《恩平市重点展览计划》境外展览发生的展位、人员和展品运输费用给予支持，每个国外展位（按标准展位9平方米计算）最高支持2.5万元，港澳台地区展览只支持展位费，每个展位最高支持1.5万元，每家企业支持展位原则上不超过2个（特装展位所需面积较大，每家企业最多支持4个展位）。</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四）对于企业参加江门市商务局牵头组织的国外重点国家展会展览发生的费用给予支持，每个国外展位（按标准展位9平方米计算）最高支持5万元，每家企业支持展位原则上不超过2个（特装展位所需面积较大，每家企业最多支持4个展位）。</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四、支持壮大外贸主体</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黑体" w:hAnsi="黑体" w:eastAsia="黑体" w:cs="黑体"/>
          <w:b w:val="0"/>
          <w:bCs/>
          <w:color w:val="auto"/>
          <w:sz w:val="32"/>
          <w:szCs w:val="32"/>
          <w:lang w:val="en-US" w:eastAsia="zh-CN"/>
        </w:rPr>
      </w:pPr>
      <w:r>
        <w:rPr>
          <w:rFonts w:hint="eastAsia" w:ascii="仿宋" w:hAnsi="仿宋" w:eastAsia="仿宋" w:cs="仿宋"/>
          <w:color w:val="auto"/>
          <w:kern w:val="0"/>
          <w:sz w:val="32"/>
          <w:szCs w:val="32"/>
          <w:lang w:val="en-US" w:eastAsia="zh-CN" w:bidi="ar-SA"/>
        </w:rPr>
        <w:t>加强培育我市农业外贸经营主体，支持服务供港澳生鲜产品、“菜篮子”出口生产基地企业壮大发展，保障供港澳生鲜农产品快速通关、安全供应，对在我市注册登记并认定为粤港澳大湾区“菜篮子”生产基地的经营主体一次性给予10万元奖励。</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五、支持扩大进口</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黑体" w:hAnsi="黑体" w:eastAsia="黑体" w:cs="黑体"/>
          <w:b w:val="0"/>
          <w:bCs/>
          <w:color w:val="auto"/>
          <w:sz w:val="32"/>
          <w:szCs w:val="32"/>
          <w:lang w:val="en-US" w:eastAsia="zh-CN"/>
        </w:rPr>
      </w:pPr>
      <w:r>
        <w:rPr>
          <w:rFonts w:hint="eastAsia" w:ascii="仿宋" w:hAnsi="仿宋" w:eastAsia="仿宋" w:cs="仿宋"/>
          <w:color w:val="auto"/>
          <w:kern w:val="0"/>
          <w:sz w:val="32"/>
          <w:szCs w:val="32"/>
          <w:lang w:val="en-US" w:eastAsia="zh-CN" w:bidi="ar-SA"/>
        </w:rPr>
        <w:t>鼓励企业进口跟民生紧密相关的食品和日常消费品，促进我市进口和出口均衡发展。对我市进口《中华人民共和国海关统计商品目录》中第一类、第二类、第三类和第四类商品（商品编号为0101.2100至2403.9900）金额按年度计算合计超过50万美元、且同比上年度正增长并符合条件的企业，按照每新增进口10万美元给予2000元支持，每家企业每年获得的扩大进口资金最多60万元。</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六、支持跨境电商发展</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加快推进江门市跨境电商综试区建设，鼓励跨境电商企业建设海外仓，每个海外仓给予最高20万元扶持；引导外贸企业使用海外仓扩大跨境电商出口规模，给予最高50万元扶持。</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七、支持企业投保进出口信用保险</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支持企业投保短期进出口信用保险。当年或上一年有进出口实绩的企业向具有国家认可合法资质的保险公司投保短期进出口信用保险（不含平台类保险），并已经实际缴纳费用的，根据企业当年实际缴纳的投保进出口信用保险所支付的保费，给予企业保费金额10%的支持。每家企业每年获得的短期进出口信用保险支持资金最多为120万元。</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八、支持出口企业购买知识产权保险</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leftChars="0" w:firstLine="524" w:firstLineChars="164"/>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鼓励企业购买知识产权保险，可按实际支出保费的50%给予该企业一次性资助；同一单位、企业同一年度享受资助额最高为6万元。</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九、支持企业通过海关AEO高级认证</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鼓励企业提升海关信用等级，享受更多通关便利性优惠政策。自2023年1月1日起首次获得中国海关《AEO认证企业证书》认证企业类型为“高级认证”的企业，给予每家企业10万元的资金支持。</w:t>
      </w:r>
    </w:p>
    <w:p>
      <w:pPr>
        <w:keepNext w:val="0"/>
        <w:keepLines w:val="0"/>
        <w:pageBreakBefore w:val="0"/>
        <w:widowControl w:val="0"/>
        <w:numPr>
          <w:ilvl w:val="0"/>
          <w:numId w:val="2"/>
        </w:numPr>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支持出口退税“容缺办理”</w:t>
      </w:r>
    </w:p>
    <w:p>
      <w:pPr>
        <w:keepNext w:val="0"/>
        <w:keepLines w:val="0"/>
        <w:pageBreakBefore w:val="0"/>
        <w:widowControl w:val="0"/>
        <w:kinsoku/>
        <w:wordWrap/>
        <w:overflowPunct/>
        <w:topLinePunct w:val="0"/>
        <w:autoSpaceDE/>
        <w:autoSpaceDN/>
        <w:bidi w:val="0"/>
        <w:adjustRightInd/>
        <w:snapToGrid w:val="0"/>
        <w:spacing w:line="550" w:lineRule="exact"/>
        <w:ind w:left="0" w:leftChars="0"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推行出口退(免)税首次申报实地核查“容缺办理”，精简出口退(免)税报送资料，对精简后停止报送的资料原件，由纳税人妥善留存备查。提高出口退税效率，支持正常退税平均办理时间不超过5个工作日，对一类、二类出口企业正常出口退(免)税的平均办理时间保持在3个工作日之内。</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auto"/>
          <w:sz w:val="32"/>
          <w:szCs w:val="32"/>
          <w:lang w:val="en-US" w:eastAsia="zh-CN"/>
        </w:rPr>
        <w:t>以上政策措施自印发之日起实施，有效期至2025年12月31日。实施过程中如遇国家、省和江门市政策调整，按上级政策相应调整。</w:t>
      </w:r>
      <w:r>
        <w:rPr>
          <w:rFonts w:hint="eastAsia" w:ascii="仿宋" w:hAnsi="仿宋" w:eastAsia="仿宋"/>
          <w:color w:val="auto"/>
          <w:sz w:val="32"/>
          <w:szCs w:val="32"/>
        </w:rPr>
        <w:t>若项目已申领国家、省</w:t>
      </w:r>
      <w:r>
        <w:rPr>
          <w:rFonts w:hint="eastAsia" w:ascii="仿宋" w:hAnsi="仿宋" w:eastAsia="仿宋" w:cs="仿宋"/>
          <w:color w:val="auto"/>
          <w:sz w:val="32"/>
          <w:szCs w:val="32"/>
          <w:lang w:val="en-US" w:eastAsia="zh-CN"/>
        </w:rPr>
        <w:t>和江门市</w:t>
      </w:r>
      <w:r>
        <w:rPr>
          <w:rFonts w:hint="eastAsia" w:ascii="仿宋" w:hAnsi="仿宋" w:eastAsia="仿宋"/>
          <w:color w:val="auto"/>
          <w:sz w:val="32"/>
          <w:szCs w:val="32"/>
        </w:rPr>
        <w:t>同类补贴，但享受补贴金额未超过其实际支出额的，按本</w:t>
      </w:r>
      <w:r>
        <w:rPr>
          <w:rFonts w:hint="eastAsia" w:ascii="仿宋" w:hAnsi="仿宋" w:eastAsia="仿宋"/>
          <w:color w:val="auto"/>
          <w:sz w:val="32"/>
          <w:szCs w:val="32"/>
          <w:lang w:eastAsia="zh-CN"/>
        </w:rPr>
        <w:t>措施</w:t>
      </w:r>
      <w:r>
        <w:rPr>
          <w:rFonts w:hint="eastAsia" w:ascii="仿宋" w:hAnsi="仿宋" w:eastAsia="仿宋"/>
          <w:color w:val="auto"/>
          <w:sz w:val="32"/>
          <w:szCs w:val="32"/>
        </w:rPr>
        <w:t>规定对未享受补贴部分的实际支出额给予支持</w:t>
      </w:r>
      <w:r>
        <w:rPr>
          <w:rFonts w:hint="eastAsia" w:ascii="仿宋" w:hAnsi="仿宋" w:eastAsia="仿宋"/>
          <w:color w:val="auto"/>
          <w:sz w:val="32"/>
          <w:szCs w:val="32"/>
          <w:lang w:eastAsia="zh-CN"/>
        </w:rPr>
        <w:t>，</w:t>
      </w:r>
      <w:r>
        <w:rPr>
          <w:rFonts w:hint="eastAsia" w:ascii="仿宋" w:hAnsi="仿宋" w:eastAsia="仿宋" w:cs="宋体"/>
          <w:color w:val="auto"/>
          <w:sz w:val="32"/>
          <w:szCs w:val="32"/>
        </w:rPr>
        <w:t>支持金额不超过实际支出额为限。同一个项目不接受重复申报，同一个项目符合本</w:t>
      </w:r>
      <w:r>
        <w:rPr>
          <w:rFonts w:hint="eastAsia" w:ascii="仿宋" w:hAnsi="仿宋" w:eastAsia="仿宋" w:cs="宋体"/>
          <w:color w:val="auto"/>
          <w:sz w:val="32"/>
          <w:szCs w:val="32"/>
          <w:lang w:eastAsia="zh-CN"/>
        </w:rPr>
        <w:t>措施</w:t>
      </w:r>
      <w:r>
        <w:rPr>
          <w:rFonts w:hint="eastAsia" w:ascii="仿宋" w:hAnsi="仿宋" w:eastAsia="仿宋" w:cs="宋体"/>
          <w:color w:val="auto"/>
          <w:sz w:val="32"/>
          <w:szCs w:val="32"/>
        </w:rPr>
        <w:t>内多项资金支持的，按支持资金“就高不就低”的原则按其中一项资金给予支持。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DB915"/>
    <w:multiLevelType w:val="singleLevel"/>
    <w:tmpl w:val="F7EDB915"/>
    <w:lvl w:ilvl="0" w:tentative="0">
      <w:start w:val="1"/>
      <w:numFmt w:val="chineseCounting"/>
      <w:suff w:val="nothing"/>
      <w:lvlText w:val="%1、"/>
      <w:lvlJc w:val="left"/>
      <w:rPr>
        <w:rFonts w:hint="eastAsia"/>
      </w:rPr>
    </w:lvl>
  </w:abstractNum>
  <w:abstractNum w:abstractNumId="1">
    <w:nsid w:val="FE199BC9"/>
    <w:multiLevelType w:val="singleLevel"/>
    <w:tmpl w:val="FE199BC9"/>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NmE3ZGY4ZTk0MDc1ZTU0MmMwZTk4ZTUwMzMzOWMifQ=="/>
  </w:docVars>
  <w:rsids>
    <w:rsidRoot w:val="7570564F"/>
    <w:rsid w:val="000E3D48"/>
    <w:rsid w:val="000E5442"/>
    <w:rsid w:val="00124DE9"/>
    <w:rsid w:val="001865CF"/>
    <w:rsid w:val="002B704D"/>
    <w:rsid w:val="002F726D"/>
    <w:rsid w:val="002F77A6"/>
    <w:rsid w:val="003027BF"/>
    <w:rsid w:val="00375EB6"/>
    <w:rsid w:val="0045220C"/>
    <w:rsid w:val="0049329E"/>
    <w:rsid w:val="004E7F89"/>
    <w:rsid w:val="00594211"/>
    <w:rsid w:val="005C3731"/>
    <w:rsid w:val="005C7F0F"/>
    <w:rsid w:val="00722805"/>
    <w:rsid w:val="007B0C11"/>
    <w:rsid w:val="00855A3B"/>
    <w:rsid w:val="00A13D9F"/>
    <w:rsid w:val="00B56104"/>
    <w:rsid w:val="00B639B5"/>
    <w:rsid w:val="00BF36B9"/>
    <w:rsid w:val="00CA7EA6"/>
    <w:rsid w:val="00DA4ACA"/>
    <w:rsid w:val="00E017D4"/>
    <w:rsid w:val="00EB4992"/>
    <w:rsid w:val="00ED0A95"/>
    <w:rsid w:val="00F26A0F"/>
    <w:rsid w:val="00F26B64"/>
    <w:rsid w:val="00F94EE2"/>
    <w:rsid w:val="00FF3C0C"/>
    <w:rsid w:val="016352A1"/>
    <w:rsid w:val="03B21311"/>
    <w:rsid w:val="05945B8D"/>
    <w:rsid w:val="064919F1"/>
    <w:rsid w:val="07E07CE8"/>
    <w:rsid w:val="09F107D9"/>
    <w:rsid w:val="0A2E2150"/>
    <w:rsid w:val="0AA45AB1"/>
    <w:rsid w:val="0AB8614B"/>
    <w:rsid w:val="0B3332F6"/>
    <w:rsid w:val="0C30256A"/>
    <w:rsid w:val="0D95031A"/>
    <w:rsid w:val="0E91189E"/>
    <w:rsid w:val="0E9C3F4C"/>
    <w:rsid w:val="0EDD50FB"/>
    <w:rsid w:val="0F590FC2"/>
    <w:rsid w:val="103F2C9E"/>
    <w:rsid w:val="113574CC"/>
    <w:rsid w:val="11A420C1"/>
    <w:rsid w:val="11D27AC7"/>
    <w:rsid w:val="13020DB9"/>
    <w:rsid w:val="141F5ACC"/>
    <w:rsid w:val="1474427E"/>
    <w:rsid w:val="14C61CBF"/>
    <w:rsid w:val="15364F66"/>
    <w:rsid w:val="15C50B66"/>
    <w:rsid w:val="160C1403"/>
    <w:rsid w:val="16E14FDE"/>
    <w:rsid w:val="17352963"/>
    <w:rsid w:val="17526002"/>
    <w:rsid w:val="187876D5"/>
    <w:rsid w:val="18C42FA0"/>
    <w:rsid w:val="1A0F671C"/>
    <w:rsid w:val="1ABA6B1B"/>
    <w:rsid w:val="1D427F04"/>
    <w:rsid w:val="1D5F16AA"/>
    <w:rsid w:val="1D862C35"/>
    <w:rsid w:val="1DAC01B9"/>
    <w:rsid w:val="1DFF0832"/>
    <w:rsid w:val="1E7165E9"/>
    <w:rsid w:val="1F575C44"/>
    <w:rsid w:val="1FAB02A2"/>
    <w:rsid w:val="202C5E66"/>
    <w:rsid w:val="203542E3"/>
    <w:rsid w:val="20667F00"/>
    <w:rsid w:val="209837D5"/>
    <w:rsid w:val="21DB1D83"/>
    <w:rsid w:val="21EA5DBB"/>
    <w:rsid w:val="22800377"/>
    <w:rsid w:val="228B22FA"/>
    <w:rsid w:val="243E0BF9"/>
    <w:rsid w:val="24B51211"/>
    <w:rsid w:val="254F24D7"/>
    <w:rsid w:val="25A16926"/>
    <w:rsid w:val="25E22E43"/>
    <w:rsid w:val="27533AA8"/>
    <w:rsid w:val="28432B86"/>
    <w:rsid w:val="289D1C9F"/>
    <w:rsid w:val="292C390C"/>
    <w:rsid w:val="29FF0308"/>
    <w:rsid w:val="2AAA4392"/>
    <w:rsid w:val="2CB365FD"/>
    <w:rsid w:val="2CBF289A"/>
    <w:rsid w:val="2D104627"/>
    <w:rsid w:val="2D4C0621"/>
    <w:rsid w:val="2DD51541"/>
    <w:rsid w:val="2E757638"/>
    <w:rsid w:val="2E7D3FCC"/>
    <w:rsid w:val="2E894B76"/>
    <w:rsid w:val="2F062224"/>
    <w:rsid w:val="2F5901B3"/>
    <w:rsid w:val="301E705B"/>
    <w:rsid w:val="30604160"/>
    <w:rsid w:val="30651111"/>
    <w:rsid w:val="30B60857"/>
    <w:rsid w:val="320400E0"/>
    <w:rsid w:val="324206A8"/>
    <w:rsid w:val="32BF7B0F"/>
    <w:rsid w:val="33BE07FA"/>
    <w:rsid w:val="35D3057A"/>
    <w:rsid w:val="37295230"/>
    <w:rsid w:val="37E043B1"/>
    <w:rsid w:val="382E75CD"/>
    <w:rsid w:val="384229AD"/>
    <w:rsid w:val="391154D0"/>
    <w:rsid w:val="39293160"/>
    <w:rsid w:val="3A117902"/>
    <w:rsid w:val="3A164532"/>
    <w:rsid w:val="3A840F03"/>
    <w:rsid w:val="3B8C101A"/>
    <w:rsid w:val="3BDF7955"/>
    <w:rsid w:val="3CA9479E"/>
    <w:rsid w:val="3D6E7425"/>
    <w:rsid w:val="3DD02172"/>
    <w:rsid w:val="3E703191"/>
    <w:rsid w:val="40073274"/>
    <w:rsid w:val="40353DDC"/>
    <w:rsid w:val="40476F8E"/>
    <w:rsid w:val="406F70C0"/>
    <w:rsid w:val="40E82BE7"/>
    <w:rsid w:val="4117479B"/>
    <w:rsid w:val="411E65D8"/>
    <w:rsid w:val="425C4877"/>
    <w:rsid w:val="42937629"/>
    <w:rsid w:val="461B13DD"/>
    <w:rsid w:val="46ED3006"/>
    <w:rsid w:val="475749A0"/>
    <w:rsid w:val="47712B5D"/>
    <w:rsid w:val="480A0644"/>
    <w:rsid w:val="490920CF"/>
    <w:rsid w:val="4B5E02EF"/>
    <w:rsid w:val="4BD203D0"/>
    <w:rsid w:val="4BE30D83"/>
    <w:rsid w:val="4C0724E2"/>
    <w:rsid w:val="4C3C72C6"/>
    <w:rsid w:val="4CAF43E1"/>
    <w:rsid w:val="4D766DD7"/>
    <w:rsid w:val="4DC056B1"/>
    <w:rsid w:val="4DD44B3C"/>
    <w:rsid w:val="4EC63E32"/>
    <w:rsid w:val="50487AB0"/>
    <w:rsid w:val="506418B0"/>
    <w:rsid w:val="50C100CB"/>
    <w:rsid w:val="50D25394"/>
    <w:rsid w:val="514C00BC"/>
    <w:rsid w:val="5224454D"/>
    <w:rsid w:val="52285852"/>
    <w:rsid w:val="52392411"/>
    <w:rsid w:val="549415F9"/>
    <w:rsid w:val="54F47DDE"/>
    <w:rsid w:val="57587DBB"/>
    <w:rsid w:val="581A3B68"/>
    <w:rsid w:val="5A5E4CD9"/>
    <w:rsid w:val="5B1B4B1B"/>
    <w:rsid w:val="5B885FA3"/>
    <w:rsid w:val="5C303467"/>
    <w:rsid w:val="5CA41323"/>
    <w:rsid w:val="5D19767E"/>
    <w:rsid w:val="5DAD07B9"/>
    <w:rsid w:val="5E1F4D0F"/>
    <w:rsid w:val="5FA51CF3"/>
    <w:rsid w:val="60502326"/>
    <w:rsid w:val="62372781"/>
    <w:rsid w:val="626B4682"/>
    <w:rsid w:val="626C5106"/>
    <w:rsid w:val="629021D4"/>
    <w:rsid w:val="63E91A11"/>
    <w:rsid w:val="654F023D"/>
    <w:rsid w:val="659A77E6"/>
    <w:rsid w:val="666F30EC"/>
    <w:rsid w:val="670251FD"/>
    <w:rsid w:val="677E3169"/>
    <w:rsid w:val="67C474A6"/>
    <w:rsid w:val="68627F4F"/>
    <w:rsid w:val="697071D3"/>
    <w:rsid w:val="6A2640E9"/>
    <w:rsid w:val="6C7C5CF9"/>
    <w:rsid w:val="6CAE3289"/>
    <w:rsid w:val="6CD8652F"/>
    <w:rsid w:val="6DD0478F"/>
    <w:rsid w:val="6FD421D9"/>
    <w:rsid w:val="6FD83695"/>
    <w:rsid w:val="70463826"/>
    <w:rsid w:val="70607DCC"/>
    <w:rsid w:val="71386FBC"/>
    <w:rsid w:val="719F52AD"/>
    <w:rsid w:val="724B3615"/>
    <w:rsid w:val="73A11F1D"/>
    <w:rsid w:val="73C607DB"/>
    <w:rsid w:val="74825F61"/>
    <w:rsid w:val="7570564F"/>
    <w:rsid w:val="76AE5327"/>
    <w:rsid w:val="77853BF3"/>
    <w:rsid w:val="77A54450"/>
    <w:rsid w:val="791F2043"/>
    <w:rsid w:val="79AB3BA4"/>
    <w:rsid w:val="7A061C8A"/>
    <w:rsid w:val="7A2E4912"/>
    <w:rsid w:val="7A76301C"/>
    <w:rsid w:val="7BD91279"/>
    <w:rsid w:val="7C11446F"/>
    <w:rsid w:val="7EBF1784"/>
    <w:rsid w:val="7F0A4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2969</Words>
  <Characters>3102</Characters>
  <Lines>7</Lines>
  <Paragraphs>2</Paragraphs>
  <TotalTime>46</TotalTime>
  <ScaleCrop>false</ScaleCrop>
  <LinksUpToDate>false</LinksUpToDate>
  <CharactersWithSpaces>3115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2022-11-23T07:38:00Z</dcterms:created>
  <dc:creator>Administrator</dc:creator>
  <cp:lastModifiedBy>浅夏</cp:lastModifiedBy>
  <cp:lastPrinted>2023-11-15T06:40:00Z</cp:lastPrinted>
  <dcterms:modified xsi:type="dcterms:W3CDTF">2023-11-15T10:04:54Z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2EF826DF1C784A00B19611E346892552_13</vt:lpwstr>
  </property>
</Properties>
</file>