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4" w:leftChars="16"/>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件</w:t>
      </w:r>
      <w:bookmarkStart w:id="0" w:name="_GoBack"/>
      <w:bookmarkEnd w:id="0"/>
    </w:p>
    <w:p>
      <w:pPr>
        <w:pStyle w:val="2"/>
      </w:pPr>
    </w:p>
    <w:p>
      <w:pPr>
        <w:ind w:left="0" w:lef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恩平市农业农村局机关食堂食材配送服务项目采购评分标准</w:t>
      </w:r>
    </w:p>
    <w:p>
      <w:pPr>
        <w:pStyle w:val="2"/>
      </w:pPr>
    </w:p>
    <w:p>
      <w:pPr>
        <w:pStyle w:val="2"/>
      </w:pPr>
    </w:p>
    <w:p>
      <w:pPr>
        <w:spacing w:line="360" w:lineRule="auto"/>
        <w:ind w:left="-420" w:leftChars="-200" w:right="-313" w:rightChars="-149" w:firstLine="640" w:firstLineChars="200"/>
        <w:rPr>
          <w:rFonts w:hint="eastAsia" w:ascii="方正仿宋简体" w:hAnsi="方正仿宋简体" w:eastAsia="方正仿宋简体" w:cs="方正仿宋简体"/>
          <w:sz w:val="32"/>
          <w:szCs w:val="32"/>
          <w:lang w:eastAsia="zh-CN"/>
        </w:rPr>
      </w:pPr>
      <w:r>
        <w:rPr>
          <w:rFonts w:hint="eastAsia" w:ascii="黑体" w:hAnsi="黑体" w:eastAsia="黑体" w:cs="黑体"/>
          <w:b w:val="0"/>
          <w:bCs w:val="0"/>
          <w:sz w:val="32"/>
          <w:szCs w:val="32"/>
        </w:rPr>
        <w:t>一、评分选取方式</w:t>
      </w:r>
    </w:p>
    <w:p>
      <w:pPr>
        <w:spacing w:line="579" w:lineRule="exact"/>
        <w:ind w:left="-420" w:leftChars="-200" w:right="-313" w:rightChars="-149"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本次采购采用综合选取的方式确定中选单位。由局小额项目承（发）包工作组先对报名单位进行初步评审；然后对满足初步评审要求的单位，按照详细评审规定的评分标准进行打分。</w:t>
      </w:r>
    </w:p>
    <w:p>
      <w:pPr>
        <w:spacing w:line="579" w:lineRule="exact"/>
        <w:ind w:left="-420" w:leftChars="-200" w:right="-313" w:rightChars="-149"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局小额项目承（发）包工作组成员对照详细评审中各评审因素（包括基础项和加分项）对报名单位进行评分，计算出各评审因素的算术平均值后合计总和作为该单位的得分，并按</w:t>
      </w:r>
      <w:r>
        <w:rPr>
          <w:rFonts w:hint="eastAsia" w:ascii="方正仿宋简体" w:hAnsi="方正仿宋简体" w:eastAsia="方正仿宋简体" w:cs="方正仿宋简体"/>
          <w:sz w:val="32"/>
          <w:szCs w:val="32"/>
          <w:lang w:val="en-US" w:eastAsia="zh-CN"/>
        </w:rPr>
        <w:t>综合</w:t>
      </w:r>
      <w:r>
        <w:rPr>
          <w:rFonts w:hint="eastAsia" w:ascii="方正仿宋简体" w:hAnsi="方正仿宋简体" w:eastAsia="方正仿宋简体" w:cs="方正仿宋简体"/>
          <w:sz w:val="32"/>
          <w:szCs w:val="32"/>
          <w:lang w:eastAsia="zh-CN"/>
        </w:rPr>
        <w:t>得分（基础得分不低于60分）由高到低顺序推荐中选单位。（说明：如报名单位只有1家，则需满足初步审查各项审查标准，再根据详细评审的各评审因素进行评分，基础项得分60分以上可推荐为中选单位；如报名单位1家以上，满足初步审查各项审查标准，再按详细评审的各评审因素（包括基础项和加分项）进行综合评分，</w:t>
      </w:r>
      <w:r>
        <w:rPr>
          <w:rFonts w:hint="eastAsia" w:ascii="方正仿宋简体" w:hAnsi="方正仿宋简体" w:eastAsia="方正仿宋简体" w:cs="方正仿宋简体"/>
          <w:sz w:val="32"/>
          <w:szCs w:val="32"/>
          <w:lang w:val="en-US" w:eastAsia="zh-CN"/>
        </w:rPr>
        <w:t>综合评分</w:t>
      </w:r>
      <w:r>
        <w:rPr>
          <w:rFonts w:hint="eastAsia" w:ascii="方正仿宋简体" w:hAnsi="方正仿宋简体" w:eastAsia="方正仿宋简体" w:cs="方正仿宋简体"/>
          <w:sz w:val="32"/>
          <w:szCs w:val="32"/>
          <w:lang w:eastAsia="zh-CN"/>
        </w:rPr>
        <w:t>由高到低顺序推荐中选单位。</w:t>
      </w:r>
      <w:r>
        <w:rPr>
          <w:rFonts w:hint="eastAsia" w:ascii="方正仿宋简体" w:hAnsi="方正仿宋简体" w:eastAsia="方正仿宋简体" w:cs="方正仿宋简体"/>
          <w:sz w:val="32"/>
          <w:szCs w:val="32"/>
          <w:lang w:val="en-US" w:eastAsia="zh-CN"/>
        </w:rPr>
        <w:t>综合</w:t>
      </w:r>
      <w:r>
        <w:rPr>
          <w:rFonts w:hint="eastAsia" w:ascii="方正仿宋简体" w:hAnsi="方正仿宋简体" w:eastAsia="方正仿宋简体" w:cs="方正仿宋简体"/>
          <w:sz w:val="32"/>
          <w:szCs w:val="32"/>
          <w:lang w:eastAsia="zh-CN"/>
        </w:rPr>
        <w:t>评分相等时，局小额项目承（发）包工作组视报名单位的情况综合比较，投票确定其名次。）</w:t>
      </w:r>
    </w:p>
    <w:p>
      <w:pPr>
        <w:spacing w:line="579" w:lineRule="exact"/>
        <w:ind w:left="0" w:leftChars="0" w:right="-313" w:rightChars="-149" w:firstLine="0" w:firstLineChars="0"/>
        <w:rPr>
          <w:rFonts w:hint="eastAsia" w:ascii="宋体" w:hAnsi="宋体" w:cs="宋体"/>
          <w:sz w:val="28"/>
          <w:szCs w:val="28"/>
          <w:lang w:eastAsia="zh-CN"/>
        </w:rPr>
      </w:pPr>
    </w:p>
    <w:p>
      <w:pPr>
        <w:spacing w:line="579" w:lineRule="exact"/>
        <w:ind w:left="0" w:leftChars="0" w:right="-313" w:rightChars="-149" w:firstLine="0" w:firstLineChars="0"/>
        <w:rPr>
          <w:rFonts w:hint="eastAsia" w:ascii="宋体" w:hAnsi="宋体" w:cs="宋体"/>
          <w:sz w:val="28"/>
          <w:szCs w:val="28"/>
          <w:lang w:eastAsia="zh-CN"/>
        </w:rPr>
      </w:pPr>
    </w:p>
    <w:p>
      <w:pPr>
        <w:spacing w:line="579" w:lineRule="exact"/>
        <w:ind w:left="0" w:leftChars="0" w:right="-313" w:rightChars="-149" w:firstLine="0" w:firstLineChars="0"/>
        <w:rPr>
          <w:rFonts w:hint="eastAsia" w:ascii="宋体" w:hAnsi="宋体" w:cs="宋体"/>
          <w:sz w:val="28"/>
          <w:szCs w:val="28"/>
          <w:lang w:eastAsia="zh-CN"/>
        </w:rPr>
      </w:pPr>
    </w:p>
    <w:p>
      <w:pPr>
        <w:spacing w:line="360" w:lineRule="auto"/>
        <w:ind w:left="-420" w:leftChars="-200" w:right="-313" w:rightChars="-149" w:firstLine="640" w:firstLineChars="200"/>
        <w:rPr>
          <w:rFonts w:hint="eastAsia" w:ascii="黑体" w:hAnsi="黑体" w:eastAsia="黑体" w:cs="黑体"/>
          <w:b w:val="0"/>
          <w:bCs w:val="0"/>
          <w:sz w:val="32"/>
          <w:szCs w:val="32"/>
        </w:rPr>
      </w:pPr>
      <w:r>
        <w:rPr>
          <w:rFonts w:hint="eastAsia" w:ascii="黑体" w:hAnsi="黑体" w:eastAsia="黑体" w:cs="黑体"/>
          <w:sz w:val="32"/>
          <w:szCs w:val="32"/>
          <w:lang w:eastAsia="zh-CN"/>
        </w:rPr>
        <w:t>二、</w:t>
      </w:r>
      <w:r>
        <w:rPr>
          <w:rFonts w:hint="eastAsia" w:ascii="黑体" w:hAnsi="黑体" w:eastAsia="黑体" w:cs="黑体"/>
          <w:b w:val="0"/>
          <w:bCs w:val="0"/>
          <w:sz w:val="32"/>
          <w:szCs w:val="32"/>
        </w:rPr>
        <w:t>初步审查</w:t>
      </w:r>
    </w:p>
    <w:tbl>
      <w:tblPr>
        <w:tblStyle w:val="7"/>
        <w:tblW w:w="9719" w:type="dxa"/>
        <w:jc w:val="center"/>
        <w:tblLayout w:type="fixed"/>
        <w:tblCellMar>
          <w:top w:w="0" w:type="dxa"/>
          <w:left w:w="108" w:type="dxa"/>
          <w:bottom w:w="67" w:type="dxa"/>
          <w:right w:w="0" w:type="dxa"/>
        </w:tblCellMar>
      </w:tblPr>
      <w:tblGrid>
        <w:gridCol w:w="1980"/>
        <w:gridCol w:w="7739"/>
      </w:tblGrid>
      <w:tr>
        <w:tblPrEx>
          <w:tblCellMar>
            <w:top w:w="0" w:type="dxa"/>
            <w:left w:w="108" w:type="dxa"/>
            <w:bottom w:w="67" w:type="dxa"/>
            <w:right w:w="0" w:type="dxa"/>
          </w:tblCellMar>
        </w:tblPrEx>
        <w:trPr>
          <w:trHeight w:val="1117" w:hRule="atLeast"/>
          <w:tblHeader/>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right="109"/>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审查</w:t>
            </w:r>
            <w:r>
              <w:rPr>
                <w:rFonts w:ascii="仿宋" w:hAnsi="仿宋" w:eastAsia="仿宋" w:cs="Times New Roman"/>
                <w:b/>
                <w:color w:val="000000"/>
                <w:sz w:val="28"/>
                <w:szCs w:val="28"/>
              </w:rPr>
              <w:t>项目</w:t>
            </w:r>
          </w:p>
        </w:tc>
        <w:tc>
          <w:tcPr>
            <w:tcW w:w="77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right="107"/>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审查</w:t>
            </w:r>
            <w:r>
              <w:rPr>
                <w:rFonts w:ascii="仿宋" w:hAnsi="仿宋" w:eastAsia="仿宋" w:cs="Times New Roman"/>
                <w:b/>
                <w:color w:val="000000"/>
                <w:sz w:val="28"/>
                <w:szCs w:val="28"/>
              </w:rPr>
              <w:t>标准</w:t>
            </w:r>
          </w:p>
        </w:tc>
      </w:tr>
      <w:tr>
        <w:tblPrEx>
          <w:tblCellMar>
            <w:top w:w="0" w:type="dxa"/>
            <w:left w:w="108" w:type="dxa"/>
            <w:bottom w:w="67" w:type="dxa"/>
            <w:right w:w="0" w:type="dxa"/>
          </w:tblCellMar>
        </w:tblPrEx>
        <w:trPr>
          <w:trHeight w:val="11367" w:hRule="atLeast"/>
          <w:jc w:val="center"/>
        </w:trPr>
        <w:tc>
          <w:tcPr>
            <w:tcW w:w="1980" w:type="dxa"/>
            <w:tcBorders>
              <w:top w:val="single" w:color="000000" w:sz="4" w:space="0"/>
              <w:left w:val="single" w:color="000000" w:sz="4" w:space="0"/>
              <w:bottom w:val="single" w:color="000000" w:sz="4" w:space="0"/>
              <w:right w:val="single" w:color="000000" w:sz="4" w:space="0"/>
            </w:tcBorders>
            <w:vAlign w:val="center"/>
          </w:tcPr>
          <w:p>
            <w:pPr>
              <w:pStyle w:val="6"/>
              <w:shd w:val="clear" w:color="auto" w:fill="FFFFFF"/>
              <w:spacing w:before="0" w:beforeAutospacing="0" w:after="0" w:afterAutospacing="0" w:line="360" w:lineRule="exact"/>
              <w:jc w:val="center"/>
              <w:textAlignment w:val="baseline"/>
              <w:rPr>
                <w:rFonts w:ascii="仿宋" w:hAnsi="仿宋" w:eastAsia="仿宋" w:cs="Times New Roman"/>
                <w:color w:val="000000"/>
                <w:sz w:val="28"/>
                <w:szCs w:val="28"/>
              </w:rPr>
            </w:pPr>
            <w:r>
              <w:rPr>
                <w:rStyle w:val="9"/>
                <w:rFonts w:ascii="仿宋" w:hAnsi="仿宋" w:eastAsia="仿宋" w:cs="Times New Roman"/>
                <w:sz w:val="28"/>
                <w:szCs w:val="28"/>
              </w:rPr>
              <w:t>资格性审查</w:t>
            </w:r>
          </w:p>
        </w:tc>
        <w:tc>
          <w:tcPr>
            <w:tcW w:w="773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right="108" w:firstLine="0" w:firstLineChars="0"/>
              <w:rPr>
                <w:rFonts w:ascii="仿宋" w:hAnsi="仿宋" w:eastAsia="仿宋" w:cs="Times New Roman"/>
                <w:color w:val="000000"/>
                <w:kern w:val="0"/>
                <w:sz w:val="28"/>
                <w:szCs w:val="28"/>
              </w:rPr>
            </w:pPr>
            <w:r>
              <w:rPr>
                <w:rFonts w:ascii="仿宋" w:hAnsi="仿宋" w:eastAsia="仿宋" w:cs="Times New Roman"/>
                <w:color w:val="000000"/>
                <w:kern w:val="0"/>
                <w:sz w:val="28"/>
                <w:szCs w:val="28"/>
              </w:rPr>
              <w:t>1.符合《中华人民共和国政府采购法》第二十二条和《中华人民共和国政府采购法实施条例》第十七条的规定；</w:t>
            </w:r>
          </w:p>
          <w:p>
            <w:pPr>
              <w:widowControl/>
              <w:spacing w:line="360" w:lineRule="exact"/>
              <w:ind w:right="108" w:firstLine="0" w:firstLineChars="0"/>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2.</w:t>
            </w:r>
            <w:r>
              <w:rPr>
                <w:rFonts w:ascii="仿宋" w:hAnsi="仿宋" w:eastAsia="仿宋" w:cs="Times New Roman"/>
                <w:color w:val="000000"/>
                <w:kern w:val="0"/>
                <w:sz w:val="28"/>
                <w:szCs w:val="28"/>
              </w:rPr>
              <w:t>有经年检合格的营业执照和有效的食品经营许可；</w:t>
            </w:r>
          </w:p>
          <w:p>
            <w:pPr>
              <w:widowControl/>
              <w:spacing w:line="360" w:lineRule="exact"/>
              <w:ind w:right="108" w:firstLine="0" w:firstLineChars="0"/>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3</w:t>
            </w:r>
            <w:r>
              <w:rPr>
                <w:rFonts w:ascii="仿宋" w:hAnsi="仿宋" w:eastAsia="仿宋" w:cs="Times New Roman"/>
                <w:color w:val="000000"/>
                <w:kern w:val="0"/>
                <w:sz w:val="28"/>
                <w:szCs w:val="28"/>
              </w:rPr>
              <w:t>.具有独立承担民事责任能力的在中华人民共和国境内注册的法人；</w:t>
            </w:r>
          </w:p>
          <w:p>
            <w:pPr>
              <w:widowControl/>
              <w:spacing w:line="360" w:lineRule="exact"/>
              <w:ind w:right="108" w:firstLine="0" w:firstLineChars="0"/>
              <w:rPr>
                <w:rFonts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rPr>
              <w:t>4</w:t>
            </w:r>
            <w:r>
              <w:rPr>
                <w:rFonts w:ascii="仿宋" w:hAnsi="仿宋" w:eastAsia="仿宋" w:cs="Times New Roman"/>
                <w:color w:val="000000"/>
                <w:kern w:val="0"/>
                <w:sz w:val="28"/>
                <w:szCs w:val="28"/>
              </w:rPr>
              <w:t>.近三年内</w:t>
            </w:r>
            <w:r>
              <w:rPr>
                <w:rFonts w:ascii="仿宋" w:hAnsi="仿宋" w:eastAsia="仿宋" w:cs="Times New Roman"/>
                <w:color w:val="000000"/>
                <w:kern w:val="0"/>
                <w:sz w:val="28"/>
                <w:szCs w:val="28"/>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无受到政府采购行政处罚且相关信用惩戒期限未满情形；</w:t>
            </w:r>
          </w:p>
          <w:p>
            <w:pPr>
              <w:pStyle w:val="2"/>
              <w:spacing w:line="360" w:lineRule="exact"/>
              <w:ind w:firstLine="0" w:firstLineChars="0"/>
              <w:rPr>
                <w:rFonts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5</w:t>
            </w:r>
            <w:r>
              <w:rPr>
                <w:rFonts w:ascii="仿宋" w:hAnsi="仿宋" w:eastAsia="仿宋" w:cs="Times New Roman"/>
                <w:color w:val="000000"/>
                <w:sz w:val="28"/>
                <w:szCs w:val="28"/>
                <w:highlight w:val="none"/>
              </w:rPr>
              <w:t>.</w:t>
            </w:r>
            <w:r>
              <w:rPr>
                <w:rFonts w:hint="eastAsia" w:ascii="仿宋" w:hAnsi="仿宋" w:eastAsia="仿宋" w:cs="Times New Roman"/>
                <w:color w:val="000000"/>
                <w:sz w:val="28"/>
                <w:szCs w:val="28"/>
                <w:highlight w:val="none"/>
                <w:lang w:eastAsia="zh-CN"/>
              </w:rPr>
              <w:t>服务单位</w:t>
            </w:r>
            <w:r>
              <w:rPr>
                <w:rFonts w:ascii="仿宋" w:hAnsi="仿宋" w:eastAsia="仿宋" w:cs="Times New Roman"/>
                <w:color w:val="000000"/>
                <w:sz w:val="28"/>
                <w:szCs w:val="28"/>
                <w:highlight w:val="none"/>
              </w:rPr>
              <w:t>必须具有良好的商业信誉和健全的财务会计制度（提供2022年度</w:t>
            </w:r>
            <w:r>
              <w:rPr>
                <w:rFonts w:hint="eastAsia" w:ascii="仿宋" w:hAnsi="仿宋" w:eastAsia="仿宋" w:cs="Times New Roman"/>
                <w:color w:val="000000"/>
                <w:sz w:val="28"/>
                <w:szCs w:val="28"/>
                <w:highlight w:val="none"/>
              </w:rPr>
              <w:t>、</w:t>
            </w:r>
            <w:r>
              <w:rPr>
                <w:rFonts w:ascii="仿宋" w:hAnsi="仿宋" w:eastAsia="仿宋" w:cs="Times New Roman"/>
                <w:color w:val="000000"/>
                <w:sz w:val="28"/>
                <w:szCs w:val="28"/>
                <w:highlight w:val="none"/>
              </w:rPr>
              <w:t>2023年度的财务</w:t>
            </w:r>
            <w:r>
              <w:rPr>
                <w:rFonts w:hint="eastAsia" w:ascii="仿宋" w:hAnsi="仿宋" w:eastAsia="仿宋" w:cs="Times New Roman"/>
                <w:color w:val="000000"/>
                <w:sz w:val="28"/>
                <w:szCs w:val="28"/>
                <w:highlight w:val="none"/>
              </w:rPr>
              <w:t>审计</w:t>
            </w:r>
            <w:r>
              <w:rPr>
                <w:rFonts w:ascii="仿宋" w:hAnsi="仿宋" w:eastAsia="仿宋" w:cs="Times New Roman"/>
                <w:color w:val="000000"/>
                <w:sz w:val="28"/>
                <w:szCs w:val="28"/>
                <w:highlight w:val="none"/>
              </w:rPr>
              <w:t>报告复印件，或银行出具的资信证明材料复印件）。</w:t>
            </w:r>
          </w:p>
          <w:p>
            <w:pPr>
              <w:pStyle w:val="2"/>
              <w:spacing w:line="360" w:lineRule="exact"/>
              <w:ind w:firstLine="0" w:firstLineChars="0"/>
              <w:rPr>
                <w:rFonts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6</w:t>
            </w:r>
            <w:r>
              <w:rPr>
                <w:rFonts w:ascii="仿宋" w:hAnsi="仿宋" w:eastAsia="仿宋" w:cs="Times New Roman"/>
                <w:color w:val="000000"/>
                <w:sz w:val="28"/>
                <w:szCs w:val="28"/>
                <w:highlight w:val="none"/>
              </w:rPr>
              <w:t>.</w:t>
            </w:r>
            <w:r>
              <w:rPr>
                <w:rFonts w:asciiTheme="minorHAnsi" w:hAnsiTheme="minorHAnsi"/>
                <w:kern w:val="2"/>
                <w:sz w:val="28"/>
                <w:szCs w:val="28"/>
                <w:highlight w:val="none"/>
              </w:rPr>
              <w:t xml:space="preserve"> </w:t>
            </w:r>
            <w:r>
              <w:rPr>
                <w:rFonts w:ascii="仿宋" w:hAnsi="仿宋" w:eastAsia="仿宋" w:cs="Times New Roman"/>
                <w:color w:val="000000"/>
                <w:sz w:val="28"/>
                <w:szCs w:val="28"/>
                <w:highlight w:val="none"/>
              </w:rPr>
              <w:t>提供投标截止日前6个月内任意1个月依法缴纳税收和社会保障资金的相关材料。 如依法免税或不需要缴纳社会保障资金的， 提供相应证明材料。</w:t>
            </w:r>
          </w:p>
          <w:p>
            <w:pPr>
              <w:pStyle w:val="2"/>
              <w:spacing w:line="360" w:lineRule="exact"/>
              <w:ind w:firstLine="0" w:firstLineChars="0"/>
              <w:rPr>
                <w:rFonts w:ascii="仿宋" w:hAnsi="仿宋" w:eastAsia="仿宋" w:cs="Times New Roman"/>
                <w:color w:val="000000"/>
                <w:sz w:val="28"/>
                <w:szCs w:val="28"/>
              </w:rPr>
            </w:pPr>
            <w:r>
              <w:rPr>
                <w:rFonts w:ascii="仿宋" w:hAnsi="仿宋" w:eastAsia="仿宋" w:cs="Times New Roman"/>
                <w:color w:val="000000"/>
                <w:sz w:val="28"/>
                <w:szCs w:val="28"/>
              </w:rPr>
              <w:t>7.</w:t>
            </w:r>
            <w:r>
              <w:rPr>
                <w:rFonts w:hint="eastAsia" w:ascii="仿宋" w:hAnsi="仿宋" w:eastAsia="仿宋" w:cs="Times New Roman"/>
                <w:color w:val="000000"/>
                <w:sz w:val="28"/>
                <w:szCs w:val="28"/>
              </w:rPr>
              <w:t>所有参与配送的人员必须具备健康证明，</w:t>
            </w:r>
            <w:r>
              <w:rPr>
                <w:rFonts w:ascii="仿宋" w:hAnsi="仿宋" w:eastAsia="仿宋" w:cs="Times New Roman"/>
                <w:color w:val="000000"/>
                <w:sz w:val="28"/>
                <w:szCs w:val="28"/>
              </w:rPr>
              <w:t>提供</w:t>
            </w:r>
            <w:r>
              <w:rPr>
                <w:rFonts w:hint="eastAsia" w:ascii="仿宋" w:hAnsi="仿宋" w:eastAsia="仿宋" w:cs="Times New Roman"/>
                <w:color w:val="000000"/>
                <w:sz w:val="28"/>
                <w:szCs w:val="28"/>
              </w:rPr>
              <w:t>健康证复印件</w:t>
            </w:r>
            <w:r>
              <w:rPr>
                <w:rFonts w:ascii="仿宋" w:hAnsi="仿宋" w:eastAsia="仿宋" w:cs="Times New Roman"/>
                <w:color w:val="000000"/>
                <w:sz w:val="28"/>
                <w:szCs w:val="28"/>
              </w:rPr>
              <w:t>。</w:t>
            </w:r>
          </w:p>
          <w:p>
            <w:pPr>
              <w:widowControl/>
              <w:spacing w:line="360" w:lineRule="exact"/>
              <w:ind w:right="108" w:firstLine="0" w:firstLineChars="0"/>
              <w:rPr>
                <w:rFonts w:ascii="仿宋" w:hAnsi="仿宋" w:eastAsia="仿宋" w:cs="Times New Roman"/>
                <w:color w:val="000000"/>
                <w:kern w:val="0"/>
                <w:sz w:val="28"/>
                <w:szCs w:val="28"/>
              </w:rPr>
            </w:pPr>
            <w:r>
              <w:rPr>
                <w:rFonts w:ascii="仿宋" w:hAnsi="仿宋" w:eastAsia="仿宋" w:cs="Times New Roman"/>
                <w:color w:val="000000"/>
                <w:kern w:val="0"/>
                <w:sz w:val="28"/>
                <w:szCs w:val="28"/>
              </w:rPr>
              <w:t>8.本项目不接受联合体</w:t>
            </w:r>
            <w:r>
              <w:rPr>
                <w:rFonts w:hint="eastAsia" w:ascii="仿宋" w:hAnsi="仿宋" w:eastAsia="仿宋" w:cs="Times New Roman"/>
                <w:color w:val="000000"/>
                <w:kern w:val="0"/>
                <w:sz w:val="28"/>
                <w:szCs w:val="28"/>
                <w:lang w:eastAsia="zh-CN"/>
              </w:rPr>
              <w:t>服务单位</w:t>
            </w:r>
            <w:r>
              <w:rPr>
                <w:rFonts w:ascii="仿宋" w:hAnsi="仿宋" w:eastAsia="仿宋" w:cs="Times New Roman"/>
                <w:color w:val="000000"/>
                <w:kern w:val="0"/>
                <w:sz w:val="28"/>
                <w:szCs w:val="28"/>
              </w:rPr>
              <w:t>投标；不允许转包、分包。</w:t>
            </w:r>
          </w:p>
        </w:tc>
      </w:tr>
    </w:tbl>
    <w:p>
      <w:pPr>
        <w:spacing w:line="360" w:lineRule="exact"/>
        <w:ind w:left="-420" w:leftChars="-200" w:right="-313" w:rightChars="-149" w:firstLine="560" w:firstLineChars="200"/>
        <w:rPr>
          <w:rFonts w:hint="eastAsia" w:ascii="黑体" w:hAnsi="黑体" w:eastAsia="黑体" w:cs="黑体"/>
          <w:b w:val="0"/>
          <w:bCs w:val="0"/>
          <w:sz w:val="28"/>
          <w:szCs w:val="28"/>
        </w:rPr>
      </w:pPr>
    </w:p>
    <w:p>
      <w:pPr>
        <w:numPr>
          <w:ilvl w:val="0"/>
          <w:numId w:val="1"/>
        </w:numPr>
        <w:spacing w:line="360" w:lineRule="exact"/>
        <w:ind w:left="-420" w:leftChars="-200" w:right="-313" w:rightChars="-149"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详细评审</w:t>
      </w:r>
    </w:p>
    <w:tbl>
      <w:tblPr>
        <w:tblStyle w:val="7"/>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67" w:type="dxa"/>
          <w:right w:w="0" w:type="dxa"/>
        </w:tblCellMar>
      </w:tblPr>
      <w:tblGrid>
        <w:gridCol w:w="799"/>
        <w:gridCol w:w="683"/>
        <w:gridCol w:w="1918"/>
        <w:gridCol w:w="5400"/>
        <w:gridCol w:w="9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67" w:type="dxa"/>
            <w:right w:w="0" w:type="dxa"/>
          </w:tblCellMar>
        </w:tblPrEx>
        <w:trPr>
          <w:trHeight w:val="1141" w:hRule="atLeast"/>
          <w:tblHeader/>
          <w:jc w:val="center"/>
        </w:trPr>
        <w:tc>
          <w:tcPr>
            <w:tcW w:w="799" w:type="dxa"/>
            <w:tcBorders>
              <w:tl2br w:val="nil"/>
              <w:tr2bl w:val="nil"/>
            </w:tcBorders>
            <w:vAlign w:val="center"/>
          </w:tcPr>
          <w:p>
            <w:pPr>
              <w:widowControl/>
              <w:spacing w:line="360" w:lineRule="exact"/>
              <w:ind w:right="109"/>
              <w:jc w:val="center"/>
              <w:rPr>
                <w:rFonts w:ascii="仿宋" w:hAnsi="仿宋" w:eastAsia="仿宋" w:cs="Times New Roman"/>
                <w:b/>
                <w:color w:val="000000"/>
                <w:sz w:val="28"/>
                <w:szCs w:val="28"/>
                <w:highlight w:val="none"/>
              </w:rPr>
            </w:pPr>
            <w:r>
              <w:rPr>
                <w:rFonts w:ascii="仿宋" w:hAnsi="仿宋" w:eastAsia="仿宋" w:cs="Times New Roman"/>
                <w:b/>
                <w:color w:val="000000"/>
                <w:sz w:val="28"/>
                <w:szCs w:val="28"/>
                <w:highlight w:val="none"/>
              </w:rPr>
              <w:t>序号</w:t>
            </w:r>
          </w:p>
        </w:tc>
        <w:tc>
          <w:tcPr>
            <w:tcW w:w="683" w:type="dxa"/>
            <w:tcBorders>
              <w:tl2br w:val="nil"/>
              <w:tr2bl w:val="nil"/>
            </w:tcBorders>
            <w:vAlign w:val="center"/>
          </w:tcPr>
          <w:p>
            <w:pPr>
              <w:widowControl/>
              <w:spacing w:line="360" w:lineRule="exact"/>
              <w:ind w:right="109"/>
              <w:jc w:val="center"/>
              <w:rPr>
                <w:rFonts w:hint="eastAsia" w:ascii="仿宋" w:hAnsi="仿宋" w:eastAsia="仿宋" w:cs="Times New Roman"/>
                <w:b/>
                <w:color w:val="000000"/>
                <w:sz w:val="28"/>
                <w:szCs w:val="28"/>
                <w:highlight w:val="none"/>
                <w:lang w:eastAsia="zh-CN"/>
              </w:rPr>
            </w:pPr>
            <w:r>
              <w:rPr>
                <w:rFonts w:hint="eastAsia" w:ascii="仿宋" w:hAnsi="仿宋" w:eastAsia="仿宋" w:cs="Times New Roman"/>
                <w:b/>
                <w:color w:val="000000"/>
                <w:sz w:val="28"/>
                <w:szCs w:val="28"/>
                <w:highlight w:val="none"/>
                <w:lang w:eastAsia="zh-CN"/>
              </w:rPr>
              <w:t>项目类型</w:t>
            </w:r>
          </w:p>
        </w:tc>
        <w:tc>
          <w:tcPr>
            <w:tcW w:w="1918" w:type="dxa"/>
            <w:tcBorders>
              <w:tl2br w:val="nil"/>
              <w:tr2bl w:val="nil"/>
            </w:tcBorders>
            <w:vAlign w:val="center"/>
          </w:tcPr>
          <w:p>
            <w:pPr>
              <w:widowControl/>
              <w:spacing w:line="360" w:lineRule="exact"/>
              <w:ind w:right="109"/>
              <w:jc w:val="center"/>
              <w:rPr>
                <w:rFonts w:ascii="仿宋" w:hAnsi="仿宋" w:eastAsia="仿宋" w:cs="Times New Roman"/>
                <w:b/>
                <w:color w:val="000000"/>
                <w:sz w:val="28"/>
                <w:szCs w:val="28"/>
                <w:highlight w:val="none"/>
              </w:rPr>
            </w:pPr>
            <w:r>
              <w:rPr>
                <w:rFonts w:ascii="仿宋" w:hAnsi="仿宋" w:eastAsia="仿宋" w:cs="Times New Roman"/>
                <w:b/>
                <w:color w:val="000000"/>
                <w:sz w:val="28"/>
                <w:szCs w:val="28"/>
                <w:highlight w:val="none"/>
              </w:rPr>
              <w:t>评价项目</w:t>
            </w:r>
          </w:p>
        </w:tc>
        <w:tc>
          <w:tcPr>
            <w:tcW w:w="5400" w:type="dxa"/>
            <w:tcBorders>
              <w:tl2br w:val="nil"/>
              <w:tr2bl w:val="nil"/>
            </w:tcBorders>
            <w:vAlign w:val="center"/>
          </w:tcPr>
          <w:p>
            <w:pPr>
              <w:widowControl/>
              <w:spacing w:line="360" w:lineRule="exact"/>
              <w:ind w:right="107"/>
              <w:jc w:val="center"/>
              <w:rPr>
                <w:rFonts w:ascii="仿宋" w:hAnsi="仿宋" w:eastAsia="仿宋" w:cs="Times New Roman"/>
                <w:b/>
                <w:color w:val="000000"/>
                <w:sz w:val="28"/>
                <w:szCs w:val="28"/>
                <w:highlight w:val="none"/>
              </w:rPr>
            </w:pPr>
            <w:r>
              <w:rPr>
                <w:rFonts w:ascii="仿宋" w:hAnsi="仿宋" w:eastAsia="仿宋" w:cs="Times New Roman"/>
                <w:b/>
                <w:color w:val="000000"/>
                <w:sz w:val="28"/>
                <w:szCs w:val="28"/>
                <w:highlight w:val="none"/>
              </w:rPr>
              <w:t>评价标准</w:t>
            </w:r>
          </w:p>
        </w:tc>
        <w:tc>
          <w:tcPr>
            <w:tcW w:w="938" w:type="dxa"/>
            <w:tcBorders>
              <w:tl2br w:val="nil"/>
              <w:tr2bl w:val="nil"/>
            </w:tcBorders>
            <w:vAlign w:val="center"/>
          </w:tcPr>
          <w:p>
            <w:pPr>
              <w:widowControl/>
              <w:spacing w:line="360" w:lineRule="exact"/>
              <w:jc w:val="center"/>
              <w:rPr>
                <w:rFonts w:ascii="仿宋" w:hAnsi="仿宋" w:eastAsia="仿宋" w:cs="Times New Roman"/>
                <w:b/>
                <w:color w:val="000000"/>
                <w:sz w:val="28"/>
                <w:szCs w:val="28"/>
                <w:highlight w:val="none"/>
              </w:rPr>
            </w:pPr>
            <w:r>
              <w:rPr>
                <w:rFonts w:ascii="仿宋" w:hAnsi="仿宋" w:eastAsia="仿宋" w:cs="Times New Roman"/>
                <w:b/>
                <w:color w:val="000000"/>
                <w:sz w:val="28"/>
                <w:szCs w:val="28"/>
                <w:highlight w:val="none"/>
              </w:rPr>
              <w:t>单项分数（分）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67" w:type="dxa"/>
            <w:right w:w="0" w:type="dxa"/>
          </w:tblCellMar>
        </w:tblPrEx>
        <w:trPr>
          <w:trHeight w:val="3824" w:hRule="atLeast"/>
          <w:jc w:val="center"/>
        </w:trPr>
        <w:tc>
          <w:tcPr>
            <w:tcW w:w="799" w:type="dxa"/>
            <w:tcBorders>
              <w:tl2br w:val="nil"/>
              <w:tr2bl w:val="nil"/>
            </w:tcBorders>
            <w:vAlign w:val="center"/>
          </w:tcPr>
          <w:p>
            <w:pPr>
              <w:widowControl/>
              <w:spacing w:line="360" w:lineRule="exact"/>
              <w:ind w:right="108"/>
              <w:jc w:val="center"/>
              <w:rPr>
                <w:rFonts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highlight w:val="none"/>
              </w:rPr>
              <w:t>1</w:t>
            </w:r>
          </w:p>
        </w:tc>
        <w:tc>
          <w:tcPr>
            <w:tcW w:w="683" w:type="dxa"/>
            <w:vMerge w:val="restart"/>
            <w:tcBorders>
              <w:tl2br w:val="nil"/>
              <w:tr2bl w:val="nil"/>
            </w:tcBorders>
            <w:vAlign w:val="center"/>
          </w:tcPr>
          <w:p>
            <w:pPr>
              <w:widowControl/>
              <w:spacing w:line="360" w:lineRule="exact"/>
              <w:ind w:right="108"/>
              <w:jc w:val="center"/>
              <w:rPr>
                <w:rStyle w:val="9"/>
                <w:rFonts w:hint="eastAsia" w:ascii="仿宋" w:hAnsi="仿宋" w:eastAsia="仿宋" w:cs="Times New Roman"/>
                <w:sz w:val="28"/>
                <w:szCs w:val="28"/>
                <w:highlight w:val="none"/>
                <w:lang w:eastAsia="zh-CN"/>
              </w:rPr>
            </w:pPr>
            <w:r>
              <w:rPr>
                <w:rStyle w:val="9"/>
                <w:rFonts w:hint="eastAsia" w:ascii="仿宋" w:hAnsi="仿宋" w:eastAsia="仿宋" w:cs="Times New Roman"/>
                <w:sz w:val="28"/>
                <w:szCs w:val="28"/>
                <w:highlight w:val="none"/>
                <w:lang w:eastAsia="zh-CN"/>
              </w:rPr>
              <w:t>基础项</w:t>
            </w:r>
          </w:p>
        </w:tc>
        <w:tc>
          <w:tcPr>
            <w:tcW w:w="1918" w:type="dxa"/>
            <w:tcBorders>
              <w:tl2br w:val="nil"/>
              <w:tr2bl w:val="nil"/>
            </w:tcBorders>
            <w:vAlign w:val="center"/>
          </w:tcPr>
          <w:p>
            <w:pPr>
              <w:widowControl/>
              <w:spacing w:line="360" w:lineRule="exact"/>
              <w:ind w:right="108"/>
              <w:jc w:val="center"/>
              <w:rPr>
                <w:rStyle w:val="9"/>
                <w:rFonts w:ascii="Times New Roman" w:hAnsi="Times New Roman" w:cs="Times New Roman"/>
                <w:sz w:val="28"/>
                <w:szCs w:val="28"/>
                <w:highlight w:val="none"/>
              </w:rPr>
            </w:pPr>
            <w:r>
              <w:rPr>
                <w:rStyle w:val="9"/>
                <w:rFonts w:ascii="仿宋" w:hAnsi="仿宋" w:eastAsia="仿宋" w:cs="Times New Roman"/>
                <w:sz w:val="28"/>
                <w:szCs w:val="28"/>
                <w:highlight w:val="none"/>
              </w:rPr>
              <w:t>实施方案</w:t>
            </w:r>
          </w:p>
        </w:tc>
        <w:tc>
          <w:tcPr>
            <w:tcW w:w="5400" w:type="dxa"/>
            <w:tcBorders>
              <w:tl2br w:val="nil"/>
              <w:tr2bl w:val="nil"/>
            </w:tcBorders>
            <w:vAlign w:val="center"/>
          </w:tcPr>
          <w:p>
            <w:pPr>
              <w:widowControl/>
              <w:spacing w:line="360" w:lineRule="exact"/>
              <w:ind w:right="108" w:firstLine="560" w:firstLineChars="200"/>
              <w:rPr>
                <w:rFonts w:ascii="仿宋" w:hAnsi="仿宋" w:eastAsia="仿宋" w:cs="Times New Roman"/>
                <w:color w:val="000000"/>
                <w:kern w:val="0"/>
                <w:sz w:val="28"/>
                <w:szCs w:val="28"/>
                <w:highlight w:val="none"/>
              </w:rPr>
            </w:pPr>
            <w:r>
              <w:rPr>
                <w:rFonts w:ascii="仿宋" w:hAnsi="仿宋" w:eastAsia="仿宋" w:cs="Times New Roman"/>
                <w:color w:val="000000"/>
                <w:kern w:val="0"/>
                <w:sz w:val="28"/>
                <w:szCs w:val="28"/>
                <w:highlight w:val="none"/>
              </w:rPr>
              <w:t>实施方案全面、完善、合理，可行性和可操作性强，贴合实际需求的，具有完备的安全追溯制度，</w:t>
            </w:r>
            <w:r>
              <w:rPr>
                <w:rFonts w:hint="eastAsia" w:ascii="仿宋" w:hAnsi="仿宋" w:eastAsia="仿宋" w:cs="Times New Roman"/>
                <w:color w:val="000000"/>
                <w:kern w:val="0"/>
                <w:sz w:val="28"/>
                <w:szCs w:val="28"/>
                <w:highlight w:val="none"/>
              </w:rPr>
              <w:t>1</w:t>
            </w:r>
            <w:r>
              <w:rPr>
                <w:rFonts w:ascii="仿宋" w:hAnsi="仿宋" w:eastAsia="仿宋" w:cs="Times New Roman"/>
                <w:color w:val="000000"/>
                <w:kern w:val="0"/>
                <w:sz w:val="28"/>
                <w:szCs w:val="28"/>
                <w:highlight w:val="none"/>
              </w:rPr>
              <w:t>5</w:t>
            </w:r>
            <w:r>
              <w:rPr>
                <w:rFonts w:hint="eastAsia" w:ascii="仿宋" w:hAnsi="仿宋" w:eastAsia="仿宋" w:cs="Times New Roman"/>
                <w:color w:val="000000"/>
                <w:kern w:val="0"/>
                <w:sz w:val="28"/>
                <w:szCs w:val="28"/>
                <w:highlight w:val="none"/>
              </w:rPr>
              <w:t>&lt;得分≤2</w:t>
            </w:r>
            <w:r>
              <w:rPr>
                <w:rFonts w:ascii="仿宋" w:hAnsi="仿宋" w:eastAsia="仿宋" w:cs="Times New Roman"/>
                <w:color w:val="000000"/>
                <w:kern w:val="0"/>
                <w:sz w:val="28"/>
                <w:szCs w:val="28"/>
                <w:highlight w:val="none"/>
              </w:rPr>
              <w:t>5；实施方案较全面、完善，可行性和可操作性较强，具有可行的安全追溯制度，</w:t>
            </w:r>
            <w:r>
              <w:rPr>
                <w:rFonts w:hint="eastAsia" w:ascii="仿宋" w:hAnsi="仿宋" w:eastAsia="仿宋" w:cs="Times New Roman"/>
                <w:color w:val="000000"/>
                <w:kern w:val="0"/>
                <w:sz w:val="28"/>
                <w:szCs w:val="28"/>
                <w:highlight w:val="none"/>
              </w:rPr>
              <w:t>5&lt;得分≤1</w:t>
            </w:r>
            <w:r>
              <w:rPr>
                <w:rFonts w:ascii="仿宋" w:hAnsi="仿宋" w:eastAsia="仿宋" w:cs="Times New Roman"/>
                <w:color w:val="000000"/>
                <w:kern w:val="0"/>
                <w:sz w:val="28"/>
                <w:szCs w:val="28"/>
                <w:highlight w:val="none"/>
              </w:rPr>
              <w:t>5；实施方案较全面不够合理，可行性和可操作性一般，</w:t>
            </w:r>
            <w:r>
              <w:rPr>
                <w:rFonts w:hint="eastAsia" w:ascii="仿宋" w:hAnsi="仿宋" w:eastAsia="仿宋" w:cs="Times New Roman"/>
                <w:color w:val="000000"/>
                <w:kern w:val="0"/>
                <w:sz w:val="28"/>
                <w:szCs w:val="28"/>
                <w:highlight w:val="none"/>
              </w:rPr>
              <w:t>0&lt;得分≤</w:t>
            </w:r>
            <w:r>
              <w:rPr>
                <w:rFonts w:ascii="仿宋" w:hAnsi="仿宋" w:eastAsia="仿宋" w:cs="Times New Roman"/>
                <w:color w:val="000000"/>
                <w:kern w:val="0"/>
                <w:sz w:val="28"/>
                <w:szCs w:val="28"/>
                <w:highlight w:val="none"/>
              </w:rPr>
              <w:t>5。</w:t>
            </w:r>
          </w:p>
          <w:p>
            <w:pPr>
              <w:widowControl/>
              <w:spacing w:line="360" w:lineRule="exact"/>
              <w:ind w:right="108" w:firstLine="560" w:firstLineChars="200"/>
              <w:rPr>
                <w:rFonts w:ascii="仿宋" w:hAnsi="仿宋" w:eastAsia="仿宋" w:cs="Times New Roman"/>
                <w:color w:val="000000"/>
                <w:kern w:val="0"/>
                <w:sz w:val="28"/>
                <w:szCs w:val="28"/>
                <w:highlight w:val="none"/>
              </w:rPr>
            </w:pPr>
            <w:r>
              <w:rPr>
                <w:rFonts w:ascii="仿宋" w:hAnsi="仿宋" w:eastAsia="仿宋" w:cs="Times New Roman"/>
                <w:color w:val="000000"/>
                <w:kern w:val="0"/>
                <w:sz w:val="28"/>
                <w:szCs w:val="28"/>
                <w:highlight w:val="none"/>
              </w:rPr>
              <w:t>注：</w:t>
            </w:r>
            <w:r>
              <w:rPr>
                <w:rFonts w:hint="eastAsia" w:ascii="仿宋" w:hAnsi="仿宋" w:eastAsia="仿宋" w:cs="Times New Roman"/>
                <w:color w:val="000000"/>
                <w:kern w:val="0"/>
                <w:sz w:val="28"/>
                <w:szCs w:val="28"/>
                <w:highlight w:val="none"/>
                <w:lang w:eastAsia="zh-CN"/>
              </w:rPr>
              <w:t>服务单位</w:t>
            </w:r>
            <w:r>
              <w:rPr>
                <w:rFonts w:ascii="仿宋" w:hAnsi="仿宋" w:eastAsia="仿宋" w:cs="Times New Roman"/>
                <w:color w:val="000000"/>
                <w:kern w:val="0"/>
                <w:sz w:val="28"/>
                <w:szCs w:val="28"/>
                <w:highlight w:val="none"/>
              </w:rPr>
              <w:t>需提供含服务承诺、应急预案、质量控制措施的实施方案，不提供相关资料不得分。</w:t>
            </w:r>
          </w:p>
        </w:tc>
        <w:tc>
          <w:tcPr>
            <w:tcW w:w="938" w:type="dxa"/>
            <w:tcBorders>
              <w:tl2br w:val="nil"/>
              <w:tr2bl w:val="nil"/>
            </w:tcBorders>
            <w:vAlign w:val="center"/>
          </w:tcPr>
          <w:p>
            <w:pPr>
              <w:widowControl/>
              <w:spacing w:line="360" w:lineRule="exact"/>
              <w:ind w:right="110"/>
              <w:jc w:val="center"/>
              <w:rPr>
                <w:rFonts w:ascii="仿宋" w:hAnsi="仿宋" w:eastAsia="仿宋" w:cs="Times New Roman"/>
                <w:color w:val="000000"/>
                <w:kern w:val="0"/>
                <w:sz w:val="28"/>
                <w:szCs w:val="28"/>
                <w:highlight w:val="none"/>
              </w:rPr>
            </w:pPr>
            <w:r>
              <w:rPr>
                <w:rFonts w:ascii="仿宋" w:hAnsi="仿宋" w:eastAsia="仿宋" w:cs="Times New Roman"/>
                <w:kern w:val="0"/>
                <w:sz w:val="28"/>
                <w:szCs w:val="28"/>
                <w:highlight w:val="none"/>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67" w:type="dxa"/>
            <w:right w:w="0" w:type="dxa"/>
          </w:tblCellMar>
        </w:tblPrEx>
        <w:trPr>
          <w:trHeight w:val="4356" w:hRule="atLeast"/>
          <w:jc w:val="center"/>
        </w:trPr>
        <w:tc>
          <w:tcPr>
            <w:tcW w:w="799" w:type="dxa"/>
            <w:tcBorders>
              <w:tl2br w:val="nil"/>
              <w:tr2bl w:val="nil"/>
            </w:tcBorders>
            <w:vAlign w:val="center"/>
          </w:tcPr>
          <w:p>
            <w:pPr>
              <w:widowControl/>
              <w:spacing w:line="360" w:lineRule="exact"/>
              <w:ind w:right="108"/>
              <w:jc w:val="center"/>
              <w:rPr>
                <w:rFonts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highlight w:val="none"/>
              </w:rPr>
              <w:t>2</w:t>
            </w:r>
          </w:p>
        </w:tc>
        <w:tc>
          <w:tcPr>
            <w:tcW w:w="683" w:type="dxa"/>
            <w:vMerge w:val="continue"/>
            <w:tcBorders>
              <w:tl2br w:val="nil"/>
              <w:tr2bl w:val="nil"/>
            </w:tcBorders>
            <w:vAlign w:val="center"/>
          </w:tcPr>
          <w:p>
            <w:pPr>
              <w:widowControl/>
              <w:spacing w:line="360" w:lineRule="exact"/>
              <w:ind w:right="108"/>
              <w:jc w:val="center"/>
              <w:rPr>
                <w:rStyle w:val="9"/>
                <w:rFonts w:ascii="仿宋" w:hAnsi="仿宋" w:eastAsia="仿宋" w:cs="Times New Roman"/>
                <w:sz w:val="28"/>
                <w:szCs w:val="28"/>
                <w:highlight w:val="none"/>
              </w:rPr>
            </w:pPr>
          </w:p>
        </w:tc>
        <w:tc>
          <w:tcPr>
            <w:tcW w:w="1918" w:type="dxa"/>
            <w:tcBorders>
              <w:tl2br w:val="nil"/>
              <w:tr2bl w:val="nil"/>
            </w:tcBorders>
            <w:vAlign w:val="center"/>
          </w:tcPr>
          <w:p>
            <w:pPr>
              <w:widowControl/>
              <w:spacing w:line="360" w:lineRule="exact"/>
              <w:ind w:right="108"/>
              <w:jc w:val="center"/>
              <w:rPr>
                <w:rFonts w:ascii="仿宋" w:hAnsi="仿宋" w:eastAsia="仿宋" w:cs="Times New Roman"/>
                <w:color w:val="000000"/>
                <w:kern w:val="0"/>
                <w:sz w:val="28"/>
                <w:szCs w:val="28"/>
                <w:highlight w:val="none"/>
              </w:rPr>
            </w:pPr>
            <w:r>
              <w:rPr>
                <w:rStyle w:val="9"/>
                <w:rFonts w:ascii="仿宋" w:hAnsi="仿宋" w:eastAsia="仿宋" w:cs="Times New Roman"/>
                <w:sz w:val="28"/>
                <w:szCs w:val="28"/>
                <w:highlight w:val="none"/>
              </w:rPr>
              <w:t>经营业绩</w:t>
            </w:r>
          </w:p>
        </w:tc>
        <w:tc>
          <w:tcPr>
            <w:tcW w:w="5400" w:type="dxa"/>
            <w:tcBorders>
              <w:tl2br w:val="nil"/>
              <w:tr2bl w:val="nil"/>
            </w:tcBorders>
            <w:vAlign w:val="center"/>
          </w:tcPr>
          <w:p>
            <w:pPr>
              <w:widowControl/>
              <w:spacing w:line="360" w:lineRule="exact"/>
              <w:ind w:right="108" w:firstLine="560" w:firstLineChars="200"/>
              <w:rPr>
                <w:rFonts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highlight w:val="none"/>
              </w:rPr>
              <w:t>根据报名单位提供的近3年承接的同类食材配送项目业绩证明总合同金额评分。</w:t>
            </w:r>
          </w:p>
          <w:p>
            <w:pPr>
              <w:widowControl/>
              <w:spacing w:line="360" w:lineRule="exact"/>
              <w:ind w:right="108" w:firstLine="560" w:firstLineChars="200"/>
              <w:rPr>
                <w:rFonts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highlight w:val="none"/>
                <w:lang w:val="en-US" w:eastAsia="zh-CN"/>
              </w:rPr>
              <w:t>总</w:t>
            </w:r>
            <w:r>
              <w:rPr>
                <w:rFonts w:hint="eastAsia" w:ascii="仿宋" w:hAnsi="仿宋" w:eastAsia="仿宋" w:cs="Times New Roman"/>
                <w:color w:val="000000"/>
                <w:kern w:val="0"/>
                <w:sz w:val="28"/>
                <w:szCs w:val="28"/>
                <w:highlight w:val="none"/>
              </w:rPr>
              <w:t>合同金额</w:t>
            </w:r>
            <w:r>
              <w:rPr>
                <w:rFonts w:ascii="仿宋" w:hAnsi="仿宋" w:eastAsia="仿宋" w:cs="Times New Roman"/>
                <w:color w:val="000000"/>
                <w:kern w:val="0"/>
                <w:sz w:val="28"/>
                <w:szCs w:val="28"/>
                <w:highlight w:val="none"/>
              </w:rPr>
              <w:t>≥人民币100</w:t>
            </w:r>
            <w:r>
              <w:rPr>
                <w:rFonts w:hint="eastAsia" w:ascii="仿宋" w:hAnsi="仿宋" w:eastAsia="仿宋" w:cs="Times New Roman"/>
                <w:color w:val="000000"/>
                <w:kern w:val="0"/>
                <w:sz w:val="28"/>
                <w:szCs w:val="28"/>
                <w:highlight w:val="none"/>
              </w:rPr>
              <w:t>万</w:t>
            </w:r>
            <w:r>
              <w:rPr>
                <w:rFonts w:hint="eastAsia" w:ascii="仿宋" w:hAnsi="仿宋" w:eastAsia="仿宋" w:cs="Times New Roman"/>
                <w:color w:val="000000"/>
                <w:kern w:val="0"/>
                <w:sz w:val="28"/>
                <w:szCs w:val="28"/>
                <w:highlight w:val="none"/>
                <w:lang w:eastAsia="zh-CN"/>
              </w:rPr>
              <w:t>元</w:t>
            </w:r>
            <w:r>
              <w:rPr>
                <w:rFonts w:hint="eastAsia" w:ascii="仿宋" w:hAnsi="仿宋" w:eastAsia="仿宋" w:cs="Times New Roman"/>
                <w:color w:val="000000"/>
                <w:kern w:val="0"/>
                <w:sz w:val="28"/>
                <w:szCs w:val="28"/>
                <w:highlight w:val="none"/>
              </w:rPr>
              <w:t>，得</w:t>
            </w:r>
            <w:r>
              <w:rPr>
                <w:rFonts w:ascii="仿宋" w:hAnsi="仿宋" w:eastAsia="仿宋" w:cs="Times New Roman"/>
                <w:color w:val="000000"/>
                <w:kern w:val="0"/>
                <w:sz w:val="28"/>
                <w:szCs w:val="28"/>
                <w:highlight w:val="none"/>
              </w:rPr>
              <w:t>10分；</w:t>
            </w:r>
          </w:p>
          <w:p>
            <w:pPr>
              <w:widowControl/>
              <w:spacing w:line="360" w:lineRule="exact"/>
              <w:ind w:right="108" w:firstLine="560" w:firstLineChars="200"/>
              <w:rPr>
                <w:rFonts w:ascii="仿宋" w:hAnsi="仿宋" w:eastAsia="仿宋" w:cs="Times New Roman"/>
                <w:color w:val="000000"/>
                <w:kern w:val="0"/>
                <w:sz w:val="28"/>
                <w:szCs w:val="28"/>
                <w:highlight w:val="none"/>
              </w:rPr>
            </w:pPr>
            <w:r>
              <w:rPr>
                <w:rFonts w:ascii="仿宋" w:hAnsi="仿宋" w:eastAsia="仿宋" w:cs="Times New Roman"/>
                <w:color w:val="000000"/>
                <w:kern w:val="0"/>
                <w:sz w:val="28"/>
                <w:szCs w:val="28"/>
                <w:highlight w:val="none"/>
              </w:rPr>
              <w:t>人民币50万</w:t>
            </w:r>
            <w:r>
              <w:rPr>
                <w:rFonts w:hint="eastAsia" w:ascii="仿宋" w:hAnsi="仿宋" w:eastAsia="仿宋" w:cs="Times New Roman"/>
                <w:color w:val="000000"/>
                <w:kern w:val="0"/>
                <w:sz w:val="28"/>
                <w:szCs w:val="28"/>
                <w:highlight w:val="none"/>
                <w:lang w:eastAsia="zh-CN"/>
              </w:rPr>
              <w:t>元</w:t>
            </w:r>
            <w:r>
              <w:rPr>
                <w:rFonts w:ascii="仿宋" w:hAnsi="仿宋" w:eastAsia="仿宋" w:cs="Times New Roman"/>
                <w:color w:val="000000"/>
                <w:kern w:val="0"/>
                <w:sz w:val="28"/>
                <w:szCs w:val="28"/>
                <w:highlight w:val="none"/>
              </w:rPr>
              <w:t>≤</w:t>
            </w:r>
            <w:r>
              <w:rPr>
                <w:rFonts w:hint="eastAsia" w:ascii="仿宋" w:hAnsi="仿宋" w:eastAsia="仿宋" w:cs="Times New Roman"/>
                <w:color w:val="000000"/>
                <w:kern w:val="0"/>
                <w:sz w:val="28"/>
                <w:szCs w:val="28"/>
                <w:highlight w:val="none"/>
                <w:lang w:val="en-US" w:eastAsia="zh-CN"/>
              </w:rPr>
              <w:t>总</w:t>
            </w:r>
            <w:r>
              <w:rPr>
                <w:rFonts w:hint="eastAsia" w:ascii="仿宋" w:hAnsi="仿宋" w:eastAsia="仿宋" w:cs="Times New Roman"/>
                <w:color w:val="000000"/>
                <w:kern w:val="0"/>
                <w:sz w:val="28"/>
                <w:szCs w:val="28"/>
                <w:highlight w:val="none"/>
              </w:rPr>
              <w:t>合同金额</w:t>
            </w:r>
            <w:r>
              <w:rPr>
                <w:rFonts w:ascii="仿宋" w:hAnsi="仿宋" w:eastAsia="仿宋" w:cs="Times New Roman"/>
                <w:color w:val="000000"/>
                <w:kern w:val="0"/>
                <w:sz w:val="28"/>
                <w:szCs w:val="28"/>
                <w:highlight w:val="none"/>
              </w:rPr>
              <w:t>＜人民币100</w:t>
            </w:r>
            <w:r>
              <w:rPr>
                <w:rFonts w:hint="eastAsia" w:ascii="仿宋" w:hAnsi="仿宋" w:eastAsia="仿宋" w:cs="Times New Roman"/>
                <w:color w:val="000000"/>
                <w:kern w:val="0"/>
                <w:sz w:val="28"/>
                <w:szCs w:val="28"/>
                <w:highlight w:val="none"/>
              </w:rPr>
              <w:t>万</w:t>
            </w:r>
            <w:r>
              <w:rPr>
                <w:rFonts w:hint="eastAsia" w:ascii="仿宋" w:hAnsi="仿宋" w:eastAsia="仿宋" w:cs="Times New Roman"/>
                <w:color w:val="000000"/>
                <w:kern w:val="0"/>
                <w:sz w:val="28"/>
                <w:szCs w:val="28"/>
                <w:highlight w:val="none"/>
                <w:lang w:eastAsia="zh-CN"/>
              </w:rPr>
              <w:t>元，</w:t>
            </w:r>
            <w:r>
              <w:rPr>
                <w:rFonts w:hint="eastAsia" w:ascii="仿宋" w:hAnsi="仿宋" w:eastAsia="仿宋" w:cs="Times New Roman"/>
                <w:color w:val="000000"/>
                <w:kern w:val="0"/>
                <w:sz w:val="28"/>
                <w:szCs w:val="28"/>
                <w:highlight w:val="none"/>
              </w:rPr>
              <w:t>得7</w:t>
            </w:r>
            <w:r>
              <w:rPr>
                <w:rFonts w:ascii="仿宋" w:hAnsi="仿宋" w:eastAsia="仿宋" w:cs="Times New Roman"/>
                <w:color w:val="000000"/>
                <w:kern w:val="0"/>
                <w:sz w:val="28"/>
                <w:szCs w:val="28"/>
                <w:highlight w:val="none"/>
              </w:rPr>
              <w:t>分；</w:t>
            </w:r>
          </w:p>
          <w:p>
            <w:pPr>
              <w:widowControl/>
              <w:spacing w:line="360" w:lineRule="exact"/>
              <w:ind w:right="108" w:firstLine="560" w:firstLineChars="200"/>
              <w:rPr>
                <w:rFonts w:hint="eastAsia"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highlight w:val="none"/>
                <w:lang w:val="en-US" w:eastAsia="zh-CN"/>
              </w:rPr>
              <w:t>总</w:t>
            </w:r>
            <w:r>
              <w:rPr>
                <w:rFonts w:hint="eastAsia" w:ascii="仿宋" w:hAnsi="仿宋" w:eastAsia="仿宋" w:cs="Times New Roman"/>
                <w:color w:val="000000"/>
                <w:kern w:val="0"/>
                <w:sz w:val="28"/>
                <w:szCs w:val="28"/>
                <w:highlight w:val="none"/>
              </w:rPr>
              <w:t>合同金额</w:t>
            </w:r>
            <w:r>
              <w:rPr>
                <w:rFonts w:ascii="仿宋" w:hAnsi="仿宋" w:eastAsia="仿宋" w:cs="Times New Roman"/>
                <w:color w:val="000000"/>
                <w:kern w:val="0"/>
                <w:sz w:val="28"/>
                <w:szCs w:val="28"/>
                <w:highlight w:val="none"/>
              </w:rPr>
              <w:t>＜人民币</w:t>
            </w:r>
            <w:r>
              <w:rPr>
                <w:rFonts w:hint="eastAsia" w:ascii="仿宋" w:hAnsi="仿宋" w:eastAsia="仿宋" w:cs="Times New Roman"/>
                <w:color w:val="000000"/>
                <w:kern w:val="0"/>
                <w:sz w:val="28"/>
                <w:szCs w:val="28"/>
                <w:highlight w:val="none"/>
                <w:lang w:val="en-US" w:eastAsia="zh-CN"/>
              </w:rPr>
              <w:t>5</w:t>
            </w:r>
            <w:r>
              <w:rPr>
                <w:rFonts w:hint="eastAsia" w:ascii="仿宋" w:hAnsi="仿宋" w:eastAsia="仿宋" w:cs="Times New Roman"/>
                <w:color w:val="000000"/>
                <w:kern w:val="0"/>
                <w:sz w:val="28"/>
                <w:szCs w:val="28"/>
                <w:highlight w:val="none"/>
                <w:lang w:val="en-US" w:eastAsia="zh-CN"/>
              </w:rPr>
              <w:t>0</w:t>
            </w:r>
            <w:r>
              <w:rPr>
                <w:rFonts w:hint="eastAsia" w:ascii="仿宋" w:hAnsi="仿宋" w:eastAsia="仿宋" w:cs="Times New Roman"/>
                <w:color w:val="000000"/>
                <w:kern w:val="0"/>
                <w:sz w:val="28"/>
                <w:szCs w:val="28"/>
                <w:highlight w:val="none"/>
              </w:rPr>
              <w:t>万</w:t>
            </w:r>
            <w:r>
              <w:rPr>
                <w:rFonts w:hint="eastAsia" w:ascii="仿宋" w:hAnsi="仿宋" w:eastAsia="仿宋" w:cs="Times New Roman"/>
                <w:color w:val="000000"/>
                <w:kern w:val="0"/>
                <w:sz w:val="28"/>
                <w:szCs w:val="28"/>
                <w:highlight w:val="none"/>
                <w:lang w:eastAsia="zh-CN"/>
              </w:rPr>
              <w:t>元</w:t>
            </w:r>
            <w:r>
              <w:rPr>
                <w:rFonts w:hint="eastAsia" w:ascii="仿宋" w:hAnsi="仿宋" w:eastAsia="仿宋" w:cs="Times New Roman"/>
                <w:color w:val="000000"/>
                <w:kern w:val="0"/>
                <w:sz w:val="28"/>
                <w:szCs w:val="28"/>
                <w:highlight w:val="none"/>
                <w:lang w:eastAsia="zh-CN"/>
              </w:rPr>
              <w:t>，</w:t>
            </w:r>
            <w:r>
              <w:rPr>
                <w:rFonts w:hint="eastAsia" w:ascii="仿宋" w:hAnsi="仿宋" w:eastAsia="仿宋" w:cs="Times New Roman"/>
                <w:color w:val="000000"/>
                <w:kern w:val="0"/>
                <w:sz w:val="28"/>
                <w:szCs w:val="28"/>
                <w:highlight w:val="none"/>
              </w:rPr>
              <w:t>得</w:t>
            </w:r>
            <w:r>
              <w:rPr>
                <w:rFonts w:ascii="仿宋" w:hAnsi="仿宋" w:eastAsia="仿宋" w:cs="Times New Roman"/>
                <w:color w:val="000000"/>
                <w:kern w:val="0"/>
                <w:sz w:val="28"/>
                <w:szCs w:val="28"/>
                <w:highlight w:val="none"/>
              </w:rPr>
              <w:t>4分</w:t>
            </w:r>
            <w:r>
              <w:rPr>
                <w:rFonts w:hint="eastAsia" w:ascii="仿宋" w:hAnsi="仿宋" w:eastAsia="仿宋" w:cs="Times New Roman"/>
                <w:color w:val="000000"/>
                <w:kern w:val="0"/>
                <w:sz w:val="28"/>
                <w:szCs w:val="28"/>
                <w:highlight w:val="none"/>
                <w:lang w:eastAsia="zh-CN"/>
              </w:rPr>
              <w:t>。</w:t>
            </w:r>
          </w:p>
          <w:p>
            <w:pPr>
              <w:widowControl/>
              <w:spacing w:line="360" w:lineRule="exact"/>
              <w:ind w:right="108" w:firstLine="560" w:firstLineChars="200"/>
              <w:rPr>
                <w:rFonts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highlight w:val="none"/>
                <w:lang w:eastAsia="zh-CN"/>
              </w:rPr>
              <w:t>服务单位</w:t>
            </w:r>
            <w:r>
              <w:rPr>
                <w:rFonts w:ascii="仿宋" w:hAnsi="仿宋" w:eastAsia="仿宋" w:cs="Times New Roman"/>
                <w:color w:val="000000"/>
                <w:kern w:val="0"/>
                <w:sz w:val="28"/>
                <w:szCs w:val="28"/>
                <w:highlight w:val="none"/>
              </w:rPr>
              <w:t>需提供</w:t>
            </w:r>
            <w:r>
              <w:rPr>
                <w:rFonts w:hint="eastAsia" w:ascii="仿宋" w:hAnsi="仿宋" w:eastAsia="仿宋" w:cs="Times New Roman"/>
                <w:color w:val="000000"/>
                <w:kern w:val="0"/>
                <w:sz w:val="28"/>
                <w:szCs w:val="28"/>
                <w:highlight w:val="none"/>
              </w:rPr>
              <w:t>相关（合同、送货单、发票）复印件，</w:t>
            </w:r>
            <w:r>
              <w:rPr>
                <w:rFonts w:ascii="仿宋" w:hAnsi="仿宋" w:eastAsia="仿宋" w:cs="Times New Roman"/>
                <w:color w:val="000000"/>
                <w:kern w:val="0"/>
                <w:sz w:val="28"/>
                <w:szCs w:val="28"/>
                <w:highlight w:val="none"/>
              </w:rPr>
              <w:t>不提供相关证明</w:t>
            </w:r>
            <w:r>
              <w:rPr>
                <w:rFonts w:hint="eastAsia" w:ascii="仿宋" w:hAnsi="仿宋" w:eastAsia="仿宋" w:cs="Times New Roman"/>
                <w:color w:val="000000"/>
                <w:kern w:val="0"/>
                <w:sz w:val="28"/>
                <w:szCs w:val="28"/>
                <w:highlight w:val="none"/>
              </w:rPr>
              <w:t>材料该项评分项目</w:t>
            </w:r>
            <w:r>
              <w:rPr>
                <w:rFonts w:ascii="仿宋" w:hAnsi="仿宋" w:eastAsia="仿宋" w:cs="Times New Roman"/>
                <w:color w:val="000000"/>
                <w:kern w:val="0"/>
                <w:sz w:val="28"/>
                <w:szCs w:val="28"/>
                <w:highlight w:val="none"/>
              </w:rPr>
              <w:t>不得分。</w:t>
            </w:r>
          </w:p>
        </w:tc>
        <w:tc>
          <w:tcPr>
            <w:tcW w:w="938" w:type="dxa"/>
            <w:tcBorders>
              <w:tl2br w:val="nil"/>
              <w:tr2bl w:val="nil"/>
            </w:tcBorders>
            <w:vAlign w:val="center"/>
          </w:tcPr>
          <w:p>
            <w:pPr>
              <w:widowControl/>
              <w:spacing w:line="360" w:lineRule="exact"/>
              <w:ind w:right="110"/>
              <w:jc w:val="center"/>
              <w:rPr>
                <w:rFonts w:ascii="仿宋" w:hAnsi="仿宋" w:eastAsia="仿宋" w:cs="Times New Roman"/>
                <w:color w:val="000000"/>
                <w:sz w:val="28"/>
                <w:szCs w:val="28"/>
                <w:highlight w:val="none"/>
              </w:rPr>
            </w:pPr>
            <w:r>
              <w:rPr>
                <w:rFonts w:hint="eastAsia" w:ascii="仿宋" w:hAnsi="仿宋" w:eastAsia="仿宋" w:cs="Times New Roman"/>
                <w:color w:val="000000"/>
                <w:sz w:val="28"/>
                <w:szCs w:val="28"/>
                <w:highlight w:val="none"/>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67" w:type="dxa"/>
            <w:right w:w="0" w:type="dxa"/>
          </w:tblCellMar>
        </w:tblPrEx>
        <w:trPr>
          <w:trHeight w:val="3571" w:hRule="atLeast"/>
          <w:jc w:val="center"/>
        </w:trPr>
        <w:tc>
          <w:tcPr>
            <w:tcW w:w="799" w:type="dxa"/>
            <w:tcBorders>
              <w:tl2br w:val="nil"/>
              <w:tr2bl w:val="nil"/>
            </w:tcBorders>
            <w:vAlign w:val="center"/>
          </w:tcPr>
          <w:p>
            <w:pPr>
              <w:widowControl/>
              <w:spacing w:line="360" w:lineRule="exact"/>
              <w:ind w:right="108"/>
              <w:jc w:val="center"/>
              <w:rPr>
                <w:rFonts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highlight w:val="none"/>
              </w:rPr>
              <w:t>3</w:t>
            </w:r>
          </w:p>
        </w:tc>
        <w:tc>
          <w:tcPr>
            <w:tcW w:w="683" w:type="dxa"/>
            <w:vMerge w:val="continue"/>
            <w:tcBorders>
              <w:tl2br w:val="nil"/>
              <w:tr2bl w:val="nil"/>
            </w:tcBorders>
            <w:vAlign w:val="center"/>
          </w:tcPr>
          <w:p>
            <w:pPr>
              <w:widowControl/>
              <w:spacing w:line="360" w:lineRule="exact"/>
              <w:ind w:right="108"/>
              <w:jc w:val="center"/>
              <w:rPr>
                <w:rStyle w:val="9"/>
                <w:rFonts w:ascii="仿宋" w:hAnsi="仿宋" w:eastAsia="仿宋" w:cs="Times New Roman"/>
                <w:sz w:val="28"/>
                <w:szCs w:val="28"/>
                <w:highlight w:val="none"/>
              </w:rPr>
            </w:pPr>
          </w:p>
        </w:tc>
        <w:tc>
          <w:tcPr>
            <w:tcW w:w="1918" w:type="dxa"/>
            <w:tcBorders>
              <w:tl2br w:val="nil"/>
              <w:tr2bl w:val="nil"/>
            </w:tcBorders>
            <w:vAlign w:val="center"/>
          </w:tcPr>
          <w:p>
            <w:pPr>
              <w:widowControl/>
              <w:spacing w:line="360" w:lineRule="exact"/>
              <w:ind w:right="108"/>
              <w:jc w:val="center"/>
              <w:rPr>
                <w:rStyle w:val="9"/>
                <w:rFonts w:ascii="仿宋" w:hAnsi="仿宋" w:eastAsia="仿宋" w:cs="Times New Roman"/>
                <w:sz w:val="28"/>
                <w:szCs w:val="28"/>
                <w:highlight w:val="none"/>
              </w:rPr>
            </w:pPr>
            <w:r>
              <w:rPr>
                <w:rStyle w:val="9"/>
                <w:rFonts w:ascii="仿宋" w:hAnsi="仿宋" w:eastAsia="仿宋" w:cs="Times New Roman"/>
                <w:sz w:val="28"/>
                <w:szCs w:val="28"/>
                <w:highlight w:val="none"/>
              </w:rPr>
              <w:t>配送能力</w:t>
            </w:r>
          </w:p>
        </w:tc>
        <w:tc>
          <w:tcPr>
            <w:tcW w:w="5400" w:type="dxa"/>
            <w:tcBorders>
              <w:tl2br w:val="nil"/>
              <w:tr2bl w:val="nil"/>
            </w:tcBorders>
            <w:vAlign w:val="center"/>
          </w:tcPr>
          <w:p>
            <w:pPr>
              <w:widowControl/>
              <w:spacing w:line="360" w:lineRule="exact"/>
              <w:ind w:right="108" w:firstLine="560" w:firstLineChars="200"/>
              <w:rPr>
                <w:rFonts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highlight w:val="none"/>
                <w:lang w:eastAsia="zh-CN"/>
              </w:rPr>
              <w:t>服务单位</w:t>
            </w:r>
            <w:r>
              <w:rPr>
                <w:rFonts w:ascii="仿宋" w:hAnsi="仿宋" w:eastAsia="仿宋" w:cs="Times New Roman"/>
                <w:color w:val="000000"/>
                <w:kern w:val="0"/>
                <w:sz w:val="28"/>
                <w:szCs w:val="28"/>
                <w:highlight w:val="none"/>
              </w:rPr>
              <w:t>投入配送车辆，</w:t>
            </w:r>
            <w:r>
              <w:rPr>
                <w:rFonts w:hint="eastAsia" w:ascii="仿宋" w:hAnsi="仿宋" w:eastAsia="仿宋" w:cs="Times New Roman"/>
                <w:color w:val="000000"/>
                <w:kern w:val="0"/>
                <w:sz w:val="28"/>
                <w:szCs w:val="28"/>
                <w:highlight w:val="none"/>
              </w:rPr>
              <w:t>常温厢式运输车</w:t>
            </w:r>
            <w:r>
              <w:rPr>
                <w:rFonts w:ascii="仿宋" w:hAnsi="仿宋" w:eastAsia="仿宋" w:cs="Times New Roman"/>
                <w:color w:val="000000"/>
                <w:kern w:val="0"/>
                <w:sz w:val="28"/>
                <w:szCs w:val="28"/>
                <w:highlight w:val="none"/>
              </w:rPr>
              <w:t>每1辆</w:t>
            </w:r>
            <w:r>
              <w:rPr>
                <w:rFonts w:hint="eastAsia" w:ascii="仿宋" w:hAnsi="仿宋" w:eastAsia="仿宋" w:cs="Times New Roman"/>
                <w:color w:val="000000"/>
                <w:kern w:val="0"/>
                <w:sz w:val="28"/>
                <w:szCs w:val="28"/>
                <w:highlight w:val="none"/>
              </w:rPr>
              <w:t>车</w:t>
            </w:r>
            <w:r>
              <w:rPr>
                <w:rFonts w:ascii="仿宋" w:hAnsi="仿宋" w:eastAsia="仿宋" w:cs="Times New Roman"/>
                <w:color w:val="000000"/>
                <w:kern w:val="0"/>
                <w:sz w:val="28"/>
                <w:szCs w:val="28"/>
                <w:highlight w:val="none"/>
              </w:rPr>
              <w:t>得1分，最高得2分</w:t>
            </w:r>
            <w:r>
              <w:rPr>
                <w:rFonts w:hint="eastAsia" w:ascii="仿宋" w:hAnsi="仿宋" w:eastAsia="仿宋" w:cs="Times New Roman"/>
                <w:color w:val="000000"/>
                <w:kern w:val="0"/>
                <w:sz w:val="28"/>
                <w:szCs w:val="28"/>
                <w:highlight w:val="none"/>
              </w:rPr>
              <w:t>；</w:t>
            </w:r>
            <w:r>
              <w:rPr>
                <w:rFonts w:ascii="仿宋" w:hAnsi="仿宋" w:eastAsia="仿宋" w:cs="Times New Roman"/>
                <w:color w:val="000000"/>
                <w:kern w:val="0"/>
                <w:sz w:val="28"/>
                <w:szCs w:val="28"/>
                <w:highlight w:val="none"/>
              </w:rPr>
              <w:t>冷藏厢式运输车，每1辆得4分，最高得8分。</w:t>
            </w:r>
          </w:p>
          <w:p>
            <w:pPr>
              <w:widowControl/>
              <w:spacing w:line="360" w:lineRule="exact"/>
              <w:ind w:right="108" w:firstLine="560" w:firstLineChars="200"/>
              <w:rPr>
                <w:rFonts w:hint="eastAsia" w:ascii="仿宋" w:hAnsi="仿宋" w:eastAsia="仿宋" w:cs="Times New Roman"/>
                <w:color w:val="000000"/>
                <w:kern w:val="0"/>
                <w:sz w:val="28"/>
                <w:szCs w:val="28"/>
                <w:highlight w:val="none"/>
              </w:rPr>
            </w:pPr>
            <w:r>
              <w:rPr>
                <w:rFonts w:ascii="仿宋" w:hAnsi="仿宋" w:eastAsia="仿宋" w:cs="Times New Roman"/>
                <w:color w:val="000000"/>
                <w:kern w:val="0"/>
                <w:sz w:val="28"/>
                <w:szCs w:val="28"/>
                <w:highlight w:val="none"/>
              </w:rPr>
              <w:t>注：</w:t>
            </w:r>
            <w:r>
              <w:rPr>
                <w:rFonts w:hint="eastAsia" w:ascii="仿宋" w:hAnsi="仿宋" w:eastAsia="仿宋" w:cs="Times New Roman"/>
                <w:color w:val="000000"/>
                <w:kern w:val="0"/>
                <w:sz w:val="28"/>
                <w:szCs w:val="28"/>
                <w:highlight w:val="none"/>
                <w:lang w:eastAsia="zh-CN"/>
              </w:rPr>
              <w:t>服务单位</w:t>
            </w:r>
            <w:r>
              <w:rPr>
                <w:rFonts w:ascii="仿宋" w:hAnsi="仿宋" w:eastAsia="仿宋" w:cs="Times New Roman"/>
                <w:color w:val="000000"/>
                <w:kern w:val="0"/>
                <w:sz w:val="28"/>
                <w:szCs w:val="28"/>
                <w:highlight w:val="none"/>
              </w:rPr>
              <w:t>需提供配送车辆</w:t>
            </w:r>
            <w:r>
              <w:rPr>
                <w:rFonts w:hint="eastAsia" w:ascii="仿宋" w:hAnsi="仿宋" w:eastAsia="仿宋" w:cs="Times New Roman"/>
                <w:color w:val="000000"/>
                <w:kern w:val="0"/>
                <w:sz w:val="28"/>
                <w:szCs w:val="28"/>
                <w:highlight w:val="none"/>
              </w:rPr>
              <w:t>以下</w:t>
            </w:r>
            <w:r>
              <w:rPr>
                <w:rFonts w:ascii="仿宋" w:hAnsi="仿宋" w:eastAsia="仿宋" w:cs="Times New Roman"/>
                <w:color w:val="000000"/>
                <w:kern w:val="0"/>
                <w:sz w:val="28"/>
                <w:szCs w:val="28"/>
                <w:highlight w:val="none"/>
              </w:rPr>
              <w:t>复印件</w:t>
            </w:r>
            <w:r>
              <w:rPr>
                <w:rFonts w:hint="eastAsia" w:ascii="仿宋" w:hAnsi="仿宋" w:eastAsia="仿宋" w:cs="Times New Roman"/>
                <w:color w:val="000000"/>
                <w:kern w:val="0"/>
                <w:sz w:val="28"/>
                <w:szCs w:val="28"/>
                <w:highlight w:val="none"/>
              </w:rPr>
              <w:t>并加盖公章：</w:t>
            </w:r>
            <w:r>
              <w:rPr>
                <w:rFonts w:ascii="仿宋" w:hAnsi="仿宋" w:eastAsia="仿宋" w:cs="Times New Roman"/>
                <w:color w:val="000000"/>
                <w:kern w:val="0"/>
                <w:sz w:val="28"/>
                <w:szCs w:val="28"/>
                <w:highlight w:val="none"/>
              </w:rPr>
              <w:t>车辆行驶证</w:t>
            </w:r>
            <w:r>
              <w:rPr>
                <w:rFonts w:hint="eastAsia" w:ascii="仿宋" w:hAnsi="仿宋" w:eastAsia="仿宋" w:cs="Times New Roman"/>
                <w:color w:val="000000"/>
                <w:kern w:val="0"/>
                <w:sz w:val="28"/>
                <w:szCs w:val="28"/>
                <w:highlight w:val="none"/>
              </w:rPr>
              <w:t>、购买发票（冷藏车必须在购车发票显示）、保险单、</w:t>
            </w:r>
            <w:r>
              <w:rPr>
                <w:rFonts w:ascii="仿宋" w:hAnsi="仿宋" w:eastAsia="仿宋" w:cs="Times New Roman"/>
                <w:color w:val="000000"/>
                <w:kern w:val="0"/>
                <w:sz w:val="28"/>
                <w:szCs w:val="28"/>
                <w:highlight w:val="none"/>
              </w:rPr>
              <w:t>车辆照片（如为租赁车辆须提供租赁合同</w:t>
            </w:r>
            <w:r>
              <w:rPr>
                <w:rFonts w:hint="eastAsia" w:ascii="仿宋" w:hAnsi="仿宋" w:eastAsia="仿宋" w:cs="Times New Roman"/>
                <w:color w:val="000000"/>
                <w:kern w:val="0"/>
                <w:sz w:val="28"/>
                <w:szCs w:val="28"/>
                <w:highlight w:val="none"/>
              </w:rPr>
              <w:t>、车主身份证</w:t>
            </w:r>
            <w:r>
              <w:rPr>
                <w:rFonts w:ascii="仿宋" w:hAnsi="仿宋" w:eastAsia="仿宋" w:cs="Times New Roman"/>
                <w:color w:val="000000"/>
                <w:kern w:val="0"/>
                <w:sz w:val="28"/>
                <w:szCs w:val="28"/>
                <w:highlight w:val="none"/>
              </w:rPr>
              <w:t>）</w:t>
            </w:r>
            <w:r>
              <w:rPr>
                <w:rFonts w:hint="eastAsia" w:ascii="仿宋" w:hAnsi="仿宋" w:eastAsia="仿宋" w:cs="Times New Roman"/>
                <w:color w:val="000000"/>
                <w:kern w:val="0"/>
                <w:sz w:val="28"/>
                <w:szCs w:val="28"/>
                <w:highlight w:val="none"/>
              </w:rPr>
              <w:t>。</w:t>
            </w:r>
            <w:r>
              <w:rPr>
                <w:rFonts w:ascii="仿宋" w:hAnsi="仿宋" w:eastAsia="仿宋" w:cs="Times New Roman"/>
                <w:color w:val="000000"/>
                <w:kern w:val="0"/>
                <w:sz w:val="28"/>
                <w:szCs w:val="28"/>
                <w:highlight w:val="none"/>
              </w:rPr>
              <w:t>不提供相关材料不得分。</w:t>
            </w:r>
          </w:p>
        </w:tc>
        <w:tc>
          <w:tcPr>
            <w:tcW w:w="938" w:type="dxa"/>
            <w:tcBorders>
              <w:tl2br w:val="nil"/>
              <w:tr2bl w:val="nil"/>
            </w:tcBorders>
            <w:vAlign w:val="center"/>
          </w:tcPr>
          <w:p>
            <w:pPr>
              <w:widowControl/>
              <w:spacing w:line="360" w:lineRule="exact"/>
              <w:ind w:right="110"/>
              <w:jc w:val="center"/>
              <w:rPr>
                <w:rFonts w:ascii="仿宋" w:hAnsi="仿宋" w:eastAsia="仿宋" w:cs="Times New Roman"/>
                <w:color w:val="000000"/>
                <w:kern w:val="0"/>
                <w:sz w:val="28"/>
                <w:szCs w:val="28"/>
                <w:highlight w:val="none"/>
              </w:rPr>
            </w:pPr>
            <w:r>
              <w:rPr>
                <w:rFonts w:ascii="仿宋" w:hAnsi="仿宋" w:eastAsia="仿宋" w:cs="Times New Roman"/>
                <w:color w:val="000000"/>
                <w:kern w:val="0"/>
                <w:sz w:val="28"/>
                <w:szCs w:val="28"/>
                <w:highlight w:val="none"/>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67" w:type="dxa"/>
            <w:right w:w="0" w:type="dxa"/>
          </w:tblCellMar>
        </w:tblPrEx>
        <w:trPr>
          <w:trHeight w:val="4492" w:hRule="atLeast"/>
          <w:jc w:val="center"/>
        </w:trPr>
        <w:tc>
          <w:tcPr>
            <w:tcW w:w="799" w:type="dxa"/>
            <w:tcBorders>
              <w:tl2br w:val="nil"/>
              <w:tr2bl w:val="nil"/>
            </w:tcBorders>
            <w:vAlign w:val="center"/>
          </w:tcPr>
          <w:p>
            <w:pPr>
              <w:widowControl/>
              <w:spacing w:line="360" w:lineRule="exact"/>
              <w:ind w:right="108"/>
              <w:jc w:val="center"/>
              <w:rPr>
                <w:rFonts w:hint="eastAsia"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highlight w:val="none"/>
              </w:rPr>
              <w:t>4</w:t>
            </w:r>
          </w:p>
        </w:tc>
        <w:tc>
          <w:tcPr>
            <w:tcW w:w="683" w:type="dxa"/>
            <w:vMerge w:val="continue"/>
            <w:tcBorders>
              <w:tl2br w:val="nil"/>
              <w:tr2bl w:val="nil"/>
            </w:tcBorders>
            <w:vAlign w:val="center"/>
          </w:tcPr>
          <w:p>
            <w:pPr>
              <w:widowControl/>
              <w:spacing w:line="360" w:lineRule="exact"/>
              <w:ind w:right="108"/>
              <w:jc w:val="center"/>
              <w:rPr>
                <w:rStyle w:val="9"/>
                <w:rFonts w:ascii="仿宋" w:hAnsi="仿宋" w:eastAsia="仿宋" w:cs="Times New Roman"/>
                <w:sz w:val="28"/>
                <w:szCs w:val="28"/>
                <w:highlight w:val="none"/>
              </w:rPr>
            </w:pPr>
          </w:p>
        </w:tc>
        <w:tc>
          <w:tcPr>
            <w:tcW w:w="1918" w:type="dxa"/>
            <w:tcBorders>
              <w:tl2br w:val="nil"/>
              <w:tr2bl w:val="nil"/>
            </w:tcBorders>
            <w:vAlign w:val="center"/>
          </w:tcPr>
          <w:p>
            <w:pPr>
              <w:widowControl/>
              <w:spacing w:line="360" w:lineRule="exact"/>
              <w:ind w:right="108"/>
              <w:jc w:val="center"/>
              <w:rPr>
                <w:b/>
                <w:bCs/>
                <w:sz w:val="28"/>
                <w:szCs w:val="28"/>
                <w:highlight w:val="none"/>
              </w:rPr>
            </w:pPr>
            <w:r>
              <w:rPr>
                <w:rStyle w:val="9"/>
                <w:rFonts w:ascii="仿宋" w:hAnsi="仿宋" w:eastAsia="仿宋" w:cs="Times New Roman"/>
                <w:sz w:val="28"/>
                <w:szCs w:val="28"/>
                <w:highlight w:val="none"/>
              </w:rPr>
              <w:t>配送人员</w:t>
            </w:r>
          </w:p>
        </w:tc>
        <w:tc>
          <w:tcPr>
            <w:tcW w:w="5400" w:type="dxa"/>
            <w:tcBorders>
              <w:tl2br w:val="nil"/>
              <w:tr2bl w:val="nil"/>
            </w:tcBorders>
            <w:vAlign w:val="center"/>
          </w:tcPr>
          <w:p>
            <w:pPr>
              <w:widowControl/>
              <w:spacing w:line="360" w:lineRule="exact"/>
              <w:ind w:right="108" w:firstLine="560" w:firstLineChars="200"/>
              <w:rPr>
                <w:rFonts w:hint="eastAsia" w:ascii="仿宋" w:hAnsi="仿宋" w:eastAsia="仿宋" w:cs="Times New Roman"/>
                <w:color w:val="000000"/>
                <w:kern w:val="0"/>
                <w:sz w:val="28"/>
                <w:szCs w:val="28"/>
                <w:highlight w:val="none"/>
              </w:rPr>
            </w:pPr>
            <w:r>
              <w:rPr>
                <w:rFonts w:ascii="仿宋" w:hAnsi="仿宋" w:eastAsia="仿宋" w:cs="Times New Roman"/>
                <w:color w:val="000000"/>
                <w:kern w:val="0"/>
                <w:sz w:val="28"/>
                <w:szCs w:val="28"/>
                <w:highlight w:val="none"/>
              </w:rPr>
              <w:t>拟投入本项目的食品安全负责人具有由市场监督管理部门颁发的高级食品安全管理员证书的</w:t>
            </w:r>
            <w:r>
              <w:rPr>
                <w:rFonts w:hint="eastAsia" w:ascii="仿宋" w:hAnsi="仿宋" w:eastAsia="仿宋" w:cs="Times New Roman"/>
                <w:color w:val="000000"/>
                <w:kern w:val="0"/>
                <w:sz w:val="28"/>
                <w:szCs w:val="28"/>
                <w:highlight w:val="none"/>
              </w:rPr>
              <w:t>，1个</w:t>
            </w:r>
            <w:r>
              <w:rPr>
                <w:rFonts w:ascii="仿宋" w:hAnsi="仿宋" w:eastAsia="仿宋" w:cs="Times New Roman"/>
                <w:color w:val="000000"/>
                <w:kern w:val="0"/>
                <w:sz w:val="28"/>
                <w:szCs w:val="28"/>
                <w:highlight w:val="none"/>
              </w:rPr>
              <w:t>得3分；具有中级食品安全管理员证书的，</w:t>
            </w:r>
            <w:r>
              <w:rPr>
                <w:rFonts w:hint="eastAsia" w:ascii="仿宋" w:hAnsi="仿宋" w:eastAsia="仿宋" w:cs="Times New Roman"/>
                <w:color w:val="000000"/>
                <w:kern w:val="0"/>
                <w:sz w:val="28"/>
                <w:szCs w:val="28"/>
                <w:highlight w:val="none"/>
              </w:rPr>
              <w:t>1</w:t>
            </w:r>
            <w:r>
              <w:rPr>
                <w:rFonts w:ascii="仿宋" w:hAnsi="仿宋" w:eastAsia="仿宋" w:cs="Times New Roman"/>
                <w:color w:val="000000"/>
                <w:kern w:val="0"/>
                <w:sz w:val="28"/>
                <w:szCs w:val="28"/>
                <w:highlight w:val="none"/>
              </w:rPr>
              <w:t>个得2分；具有初级食品安全管理员证书的，</w:t>
            </w:r>
            <w:r>
              <w:rPr>
                <w:rFonts w:hint="eastAsia" w:ascii="仿宋" w:hAnsi="仿宋" w:eastAsia="仿宋" w:cs="Times New Roman"/>
                <w:color w:val="000000"/>
                <w:kern w:val="0"/>
                <w:sz w:val="28"/>
                <w:szCs w:val="28"/>
                <w:highlight w:val="none"/>
              </w:rPr>
              <w:t>1</w:t>
            </w:r>
            <w:r>
              <w:rPr>
                <w:rFonts w:ascii="仿宋" w:hAnsi="仿宋" w:eastAsia="仿宋" w:cs="Times New Roman"/>
                <w:color w:val="000000"/>
                <w:kern w:val="0"/>
                <w:sz w:val="28"/>
                <w:szCs w:val="28"/>
                <w:highlight w:val="none"/>
              </w:rPr>
              <w:t>个得1分。注：需提供人员证书复印件及</w:t>
            </w:r>
            <w:r>
              <w:rPr>
                <w:rFonts w:hint="eastAsia" w:ascii="仿宋" w:hAnsi="仿宋" w:eastAsia="仿宋" w:cs="Times New Roman"/>
                <w:color w:val="000000"/>
                <w:kern w:val="0"/>
                <w:sz w:val="28"/>
                <w:szCs w:val="28"/>
                <w:highlight w:val="none"/>
                <w:lang w:eastAsia="zh-CN"/>
              </w:rPr>
              <w:t>服务单位</w:t>
            </w:r>
            <w:r>
              <w:rPr>
                <w:rFonts w:ascii="仿宋" w:hAnsi="仿宋" w:eastAsia="仿宋" w:cs="Times New Roman"/>
                <w:color w:val="000000"/>
                <w:kern w:val="0"/>
                <w:sz w:val="28"/>
                <w:szCs w:val="28"/>
                <w:highlight w:val="none"/>
              </w:rPr>
              <w:t>近半年来任意</w:t>
            </w:r>
            <w:r>
              <w:rPr>
                <w:rFonts w:hint="eastAsia" w:ascii="仿宋" w:hAnsi="仿宋" w:eastAsia="仿宋" w:cs="Times New Roman"/>
                <w:color w:val="000000"/>
                <w:kern w:val="0"/>
                <w:sz w:val="28"/>
                <w:szCs w:val="28"/>
                <w:highlight w:val="none"/>
              </w:rPr>
              <w:t>二</w:t>
            </w:r>
            <w:r>
              <w:rPr>
                <w:rFonts w:ascii="仿宋" w:hAnsi="仿宋" w:eastAsia="仿宋" w:cs="Times New Roman"/>
                <w:color w:val="000000"/>
                <w:kern w:val="0"/>
                <w:sz w:val="28"/>
                <w:szCs w:val="28"/>
                <w:highlight w:val="none"/>
              </w:rPr>
              <w:t>个月为其缴纳的社保证明材料复印件</w:t>
            </w:r>
            <w:r>
              <w:rPr>
                <w:rFonts w:hint="eastAsia" w:ascii="仿宋" w:hAnsi="仿宋" w:eastAsia="仿宋" w:cs="Times New Roman"/>
                <w:color w:val="000000"/>
                <w:kern w:val="0"/>
                <w:sz w:val="28"/>
                <w:szCs w:val="28"/>
                <w:highlight w:val="none"/>
              </w:rPr>
              <w:t>、健康证复印件</w:t>
            </w:r>
            <w:r>
              <w:rPr>
                <w:rFonts w:ascii="仿宋" w:hAnsi="仿宋" w:eastAsia="仿宋" w:cs="Times New Roman"/>
                <w:color w:val="000000"/>
                <w:kern w:val="0"/>
                <w:sz w:val="28"/>
                <w:szCs w:val="28"/>
                <w:highlight w:val="none"/>
              </w:rPr>
              <w:t>并加盖公章，不提供不得分</w:t>
            </w:r>
            <w:r>
              <w:rPr>
                <w:rFonts w:hint="eastAsia" w:ascii="仿宋" w:hAnsi="仿宋" w:eastAsia="仿宋" w:cs="Times New Roman"/>
                <w:color w:val="000000"/>
                <w:kern w:val="0"/>
                <w:sz w:val="28"/>
                <w:szCs w:val="28"/>
                <w:highlight w:val="none"/>
              </w:rPr>
              <w:t>，本项目最高得分</w:t>
            </w:r>
            <w:r>
              <w:rPr>
                <w:rFonts w:ascii="仿宋" w:hAnsi="仿宋" w:eastAsia="仿宋" w:cs="Times New Roman"/>
                <w:color w:val="000000"/>
                <w:kern w:val="0"/>
                <w:sz w:val="28"/>
                <w:szCs w:val="28"/>
                <w:highlight w:val="none"/>
              </w:rPr>
              <w:t>10</w:t>
            </w:r>
            <w:r>
              <w:rPr>
                <w:rFonts w:hint="eastAsia" w:ascii="仿宋" w:hAnsi="仿宋" w:eastAsia="仿宋" w:cs="Times New Roman"/>
                <w:color w:val="000000"/>
                <w:kern w:val="0"/>
                <w:sz w:val="28"/>
                <w:szCs w:val="28"/>
                <w:highlight w:val="none"/>
              </w:rPr>
              <w:t>分</w:t>
            </w:r>
            <w:r>
              <w:rPr>
                <w:rFonts w:ascii="仿宋" w:hAnsi="仿宋" w:eastAsia="仿宋" w:cs="Times New Roman"/>
                <w:color w:val="000000"/>
                <w:kern w:val="0"/>
                <w:sz w:val="28"/>
                <w:szCs w:val="28"/>
                <w:highlight w:val="none"/>
              </w:rPr>
              <w:t>。</w:t>
            </w:r>
          </w:p>
        </w:tc>
        <w:tc>
          <w:tcPr>
            <w:tcW w:w="938" w:type="dxa"/>
            <w:tcBorders>
              <w:tl2br w:val="nil"/>
              <w:tr2bl w:val="nil"/>
            </w:tcBorders>
            <w:vAlign w:val="center"/>
          </w:tcPr>
          <w:p>
            <w:pPr>
              <w:widowControl/>
              <w:spacing w:line="360" w:lineRule="exact"/>
              <w:ind w:right="110"/>
              <w:jc w:val="center"/>
              <w:rPr>
                <w:rFonts w:ascii="仿宋" w:hAnsi="仿宋" w:eastAsia="仿宋" w:cs="Times New Roman"/>
                <w:color w:val="000000"/>
                <w:kern w:val="0"/>
                <w:sz w:val="28"/>
                <w:szCs w:val="28"/>
                <w:highlight w:val="none"/>
              </w:rPr>
            </w:pPr>
            <w:r>
              <w:rPr>
                <w:rFonts w:ascii="仿宋" w:hAnsi="仿宋" w:eastAsia="仿宋" w:cs="Times New Roman"/>
                <w:color w:val="000000"/>
                <w:kern w:val="0"/>
                <w:sz w:val="28"/>
                <w:szCs w:val="28"/>
                <w:highlight w:val="none"/>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67" w:type="dxa"/>
            <w:right w:w="0" w:type="dxa"/>
          </w:tblCellMar>
        </w:tblPrEx>
        <w:trPr>
          <w:trHeight w:val="6075" w:hRule="atLeast"/>
          <w:jc w:val="center"/>
        </w:trPr>
        <w:tc>
          <w:tcPr>
            <w:tcW w:w="799" w:type="dxa"/>
            <w:tcBorders>
              <w:tl2br w:val="nil"/>
              <w:tr2bl w:val="nil"/>
            </w:tcBorders>
            <w:vAlign w:val="center"/>
          </w:tcPr>
          <w:p>
            <w:pPr>
              <w:widowControl/>
              <w:spacing w:line="360" w:lineRule="exact"/>
              <w:ind w:right="108"/>
              <w:jc w:val="center"/>
              <w:rPr>
                <w:rFonts w:hint="eastAsia" w:ascii="仿宋" w:hAnsi="仿宋" w:eastAsia="仿宋" w:cs="Times New Roman"/>
                <w:color w:val="000000"/>
                <w:kern w:val="0"/>
                <w:sz w:val="28"/>
                <w:szCs w:val="28"/>
                <w:highlight w:val="none"/>
                <w:lang w:eastAsia="zh-CN"/>
              </w:rPr>
            </w:pPr>
            <w:r>
              <w:rPr>
                <w:rFonts w:hint="eastAsia" w:ascii="仿宋" w:hAnsi="仿宋" w:eastAsia="仿宋" w:cs="Times New Roman"/>
                <w:color w:val="000000"/>
                <w:kern w:val="0"/>
                <w:sz w:val="28"/>
                <w:szCs w:val="28"/>
                <w:highlight w:val="none"/>
                <w:lang w:val="en-US" w:eastAsia="zh-CN"/>
              </w:rPr>
              <w:t>5</w:t>
            </w:r>
          </w:p>
        </w:tc>
        <w:tc>
          <w:tcPr>
            <w:tcW w:w="683" w:type="dxa"/>
            <w:vMerge w:val="continue"/>
            <w:tcBorders>
              <w:tl2br w:val="nil"/>
              <w:tr2bl w:val="nil"/>
            </w:tcBorders>
            <w:vAlign w:val="center"/>
          </w:tcPr>
          <w:p>
            <w:pPr>
              <w:widowControl/>
              <w:spacing w:line="360" w:lineRule="exact"/>
              <w:ind w:right="108"/>
              <w:jc w:val="center"/>
              <w:rPr>
                <w:rStyle w:val="9"/>
                <w:rFonts w:ascii="仿宋" w:hAnsi="仿宋" w:eastAsia="仿宋" w:cs="Times New Roman"/>
                <w:sz w:val="28"/>
                <w:szCs w:val="28"/>
                <w:highlight w:val="none"/>
              </w:rPr>
            </w:pPr>
          </w:p>
        </w:tc>
        <w:tc>
          <w:tcPr>
            <w:tcW w:w="1918" w:type="dxa"/>
            <w:tcBorders>
              <w:tl2br w:val="nil"/>
              <w:tr2bl w:val="nil"/>
            </w:tcBorders>
            <w:vAlign w:val="center"/>
          </w:tcPr>
          <w:p>
            <w:pPr>
              <w:widowControl/>
              <w:spacing w:line="360" w:lineRule="exact"/>
              <w:ind w:right="108"/>
              <w:jc w:val="center"/>
              <w:rPr>
                <w:rStyle w:val="9"/>
                <w:rFonts w:ascii="仿宋" w:hAnsi="仿宋" w:eastAsia="仿宋" w:cs="Times New Roman"/>
                <w:sz w:val="28"/>
                <w:szCs w:val="28"/>
                <w:highlight w:val="none"/>
              </w:rPr>
            </w:pPr>
            <w:r>
              <w:rPr>
                <w:rStyle w:val="9"/>
                <w:rFonts w:ascii="仿宋" w:hAnsi="仿宋" w:eastAsia="仿宋" w:cs="Times New Roman"/>
                <w:sz w:val="28"/>
                <w:szCs w:val="28"/>
                <w:highlight w:val="none"/>
              </w:rPr>
              <w:t>食材</w:t>
            </w:r>
            <w:r>
              <w:rPr>
                <w:rStyle w:val="9"/>
                <w:rFonts w:hint="eastAsia" w:ascii="仿宋" w:hAnsi="仿宋" w:eastAsia="仿宋" w:cs="Times New Roman"/>
                <w:sz w:val="28"/>
                <w:szCs w:val="28"/>
                <w:highlight w:val="none"/>
              </w:rPr>
              <w:t>来源</w:t>
            </w:r>
          </w:p>
        </w:tc>
        <w:tc>
          <w:tcPr>
            <w:tcW w:w="5400" w:type="dxa"/>
            <w:tcBorders>
              <w:tl2br w:val="nil"/>
              <w:tr2bl w:val="nil"/>
            </w:tcBorders>
            <w:vAlign w:val="center"/>
          </w:tcPr>
          <w:p>
            <w:pPr>
              <w:widowControl/>
              <w:spacing w:line="360" w:lineRule="exact"/>
              <w:ind w:right="108" w:firstLine="560" w:firstLineChars="200"/>
              <w:rPr>
                <w:rFonts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highlight w:val="none"/>
              </w:rPr>
              <w:t>1</w:t>
            </w:r>
            <w:r>
              <w:rPr>
                <w:rFonts w:ascii="仿宋" w:hAnsi="仿宋" w:eastAsia="仿宋" w:cs="Times New Roman"/>
                <w:color w:val="000000"/>
                <w:kern w:val="0"/>
                <w:sz w:val="28"/>
                <w:szCs w:val="28"/>
                <w:highlight w:val="none"/>
              </w:rPr>
              <w:t>.</w:t>
            </w:r>
            <w:r>
              <w:rPr>
                <w:rFonts w:hint="eastAsia" w:ascii="仿宋" w:hAnsi="仿宋" w:eastAsia="仿宋" w:cs="Times New Roman"/>
                <w:color w:val="000000"/>
                <w:kern w:val="0"/>
                <w:sz w:val="28"/>
                <w:szCs w:val="28"/>
                <w:highlight w:val="none"/>
                <w:lang w:eastAsia="zh-CN"/>
              </w:rPr>
              <w:t>服务单位</w:t>
            </w:r>
            <w:r>
              <w:rPr>
                <w:rFonts w:hint="eastAsia" w:ascii="仿宋" w:hAnsi="仿宋" w:eastAsia="仿宋" w:cs="Times New Roman"/>
                <w:color w:val="000000"/>
                <w:kern w:val="0"/>
                <w:sz w:val="28"/>
                <w:szCs w:val="28"/>
                <w:highlight w:val="none"/>
              </w:rPr>
              <w:t>使用信息化管理软件进行配送管理，建立配送管理电子台账档案，并能追踪溯源，保存3年以上的，得</w:t>
            </w:r>
            <w:r>
              <w:rPr>
                <w:rFonts w:hint="eastAsia" w:ascii="仿宋" w:hAnsi="仿宋" w:eastAsia="仿宋" w:cs="Times New Roman"/>
                <w:color w:val="000000"/>
                <w:kern w:val="0"/>
                <w:sz w:val="28"/>
                <w:szCs w:val="28"/>
                <w:highlight w:val="none"/>
                <w:lang w:val="en-US" w:eastAsia="zh-CN"/>
              </w:rPr>
              <w:t>8</w:t>
            </w:r>
            <w:r>
              <w:rPr>
                <w:rFonts w:hint="eastAsia" w:ascii="仿宋" w:hAnsi="仿宋" w:eastAsia="仿宋" w:cs="Times New Roman"/>
                <w:color w:val="000000"/>
                <w:kern w:val="0"/>
                <w:sz w:val="28"/>
                <w:szCs w:val="28"/>
                <w:highlight w:val="none"/>
              </w:rPr>
              <w:t>分（</w:t>
            </w:r>
            <w:r>
              <w:rPr>
                <w:rFonts w:hint="eastAsia" w:ascii="仿宋" w:hAnsi="仿宋" w:eastAsia="仿宋" w:cs="Times New Roman"/>
                <w:color w:val="000000"/>
                <w:kern w:val="0"/>
                <w:sz w:val="28"/>
                <w:szCs w:val="28"/>
                <w:highlight w:val="none"/>
                <w:lang w:eastAsia="zh-CN"/>
              </w:rPr>
              <w:t>服务单位</w:t>
            </w:r>
            <w:r>
              <w:rPr>
                <w:rFonts w:hint="eastAsia" w:ascii="仿宋" w:hAnsi="仿宋" w:eastAsia="仿宋" w:cs="Times New Roman"/>
                <w:color w:val="000000"/>
                <w:kern w:val="0"/>
                <w:sz w:val="28"/>
                <w:szCs w:val="28"/>
                <w:highlight w:val="none"/>
              </w:rPr>
              <w:t>提供承诺函加盖公章，提供管理软件截图、软件购买合同、发票。无承诺函或没有使用软件不得分。）</w:t>
            </w:r>
          </w:p>
          <w:p>
            <w:pPr>
              <w:widowControl/>
              <w:spacing w:line="360" w:lineRule="exact"/>
              <w:ind w:right="108" w:firstLine="560" w:firstLineChars="200"/>
              <w:rPr>
                <w:rFonts w:hint="eastAsia"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highlight w:val="none"/>
              </w:rPr>
              <w:t>2.</w:t>
            </w:r>
            <w:r>
              <w:rPr>
                <w:rFonts w:hint="eastAsia" w:ascii="仿宋" w:hAnsi="仿宋" w:eastAsia="仿宋" w:cs="Times New Roman"/>
                <w:color w:val="000000"/>
                <w:kern w:val="0"/>
                <w:sz w:val="28"/>
                <w:szCs w:val="28"/>
                <w:highlight w:val="none"/>
                <w:lang w:eastAsia="zh-CN"/>
              </w:rPr>
              <w:t>服务单位</w:t>
            </w:r>
            <w:r>
              <w:rPr>
                <w:rFonts w:hint="eastAsia" w:ascii="仿宋" w:hAnsi="仿宋" w:eastAsia="仿宋" w:cs="Times New Roman"/>
                <w:color w:val="000000"/>
                <w:kern w:val="0"/>
                <w:sz w:val="28"/>
                <w:szCs w:val="28"/>
                <w:highlight w:val="none"/>
              </w:rPr>
              <w:t>与当地经营蔬菜、肉类、禽类、蛋类、干货调味品类、大米粮油类等的</w:t>
            </w:r>
            <w:r>
              <w:rPr>
                <w:rFonts w:hint="eastAsia" w:ascii="仿宋" w:hAnsi="仿宋" w:eastAsia="仿宋" w:cs="Times New Roman"/>
                <w:color w:val="000000"/>
                <w:kern w:val="0"/>
                <w:sz w:val="28"/>
                <w:szCs w:val="28"/>
                <w:highlight w:val="none"/>
                <w:lang w:eastAsia="zh-CN"/>
              </w:rPr>
              <w:t>服务单位</w:t>
            </w:r>
            <w:r>
              <w:rPr>
                <w:rFonts w:hint="eastAsia" w:ascii="仿宋" w:hAnsi="仿宋" w:eastAsia="仿宋" w:cs="Times New Roman"/>
                <w:color w:val="000000"/>
                <w:kern w:val="0"/>
                <w:sz w:val="28"/>
                <w:szCs w:val="28"/>
                <w:highlight w:val="none"/>
              </w:rPr>
              <w:t>有稳定的合作关系，得</w:t>
            </w:r>
            <w:r>
              <w:rPr>
                <w:rFonts w:hint="eastAsia" w:ascii="仿宋" w:hAnsi="仿宋" w:eastAsia="仿宋" w:cs="Times New Roman"/>
                <w:color w:val="000000"/>
                <w:kern w:val="0"/>
                <w:sz w:val="28"/>
                <w:szCs w:val="28"/>
                <w:highlight w:val="none"/>
                <w:lang w:val="en-US" w:eastAsia="zh-CN"/>
              </w:rPr>
              <w:t>7</w:t>
            </w:r>
            <w:r>
              <w:rPr>
                <w:rFonts w:hint="eastAsia" w:ascii="仿宋" w:hAnsi="仿宋" w:eastAsia="仿宋" w:cs="Times New Roman"/>
                <w:color w:val="000000"/>
                <w:kern w:val="0"/>
                <w:sz w:val="28"/>
                <w:szCs w:val="28"/>
                <w:highlight w:val="none"/>
              </w:rPr>
              <w:t>分。(</w:t>
            </w:r>
            <w:r>
              <w:rPr>
                <w:rFonts w:hint="eastAsia" w:ascii="仿宋" w:hAnsi="仿宋" w:eastAsia="仿宋" w:cs="Times New Roman"/>
                <w:color w:val="000000"/>
                <w:kern w:val="0"/>
                <w:sz w:val="28"/>
                <w:szCs w:val="28"/>
                <w:highlight w:val="none"/>
                <w:lang w:eastAsia="zh-CN"/>
              </w:rPr>
              <w:t>服务单位</w:t>
            </w:r>
            <w:r>
              <w:rPr>
                <w:rFonts w:hint="eastAsia" w:ascii="仿宋" w:hAnsi="仿宋" w:eastAsia="仿宋" w:cs="Times New Roman"/>
                <w:color w:val="000000"/>
                <w:kern w:val="0"/>
                <w:sz w:val="28"/>
                <w:szCs w:val="28"/>
                <w:highlight w:val="none"/>
              </w:rPr>
              <w:t>提供各</w:t>
            </w:r>
            <w:r>
              <w:rPr>
                <w:rFonts w:hint="eastAsia" w:ascii="仿宋" w:hAnsi="仿宋" w:eastAsia="仿宋" w:cs="Times New Roman"/>
                <w:color w:val="000000"/>
                <w:kern w:val="0"/>
                <w:sz w:val="28"/>
                <w:szCs w:val="28"/>
                <w:highlight w:val="none"/>
                <w:lang w:val="en-US" w:eastAsia="zh-CN"/>
              </w:rPr>
              <w:t>供应商</w:t>
            </w:r>
            <w:r>
              <w:rPr>
                <w:rFonts w:hint="eastAsia" w:ascii="仿宋" w:hAnsi="仿宋" w:eastAsia="仿宋" w:cs="Times New Roman"/>
                <w:color w:val="000000"/>
                <w:kern w:val="0"/>
                <w:sz w:val="28"/>
                <w:szCs w:val="28"/>
                <w:highlight w:val="none"/>
              </w:rPr>
              <w:t>有效期内的合作协议或者合同复印件、食品经营许可证，并加盖公章，不提供不得分。)</w:t>
            </w:r>
          </w:p>
        </w:tc>
        <w:tc>
          <w:tcPr>
            <w:tcW w:w="938" w:type="dxa"/>
            <w:tcBorders>
              <w:tl2br w:val="nil"/>
              <w:tr2bl w:val="nil"/>
            </w:tcBorders>
            <w:vAlign w:val="center"/>
          </w:tcPr>
          <w:p>
            <w:pPr>
              <w:widowControl/>
              <w:spacing w:line="360" w:lineRule="exact"/>
              <w:ind w:right="110"/>
              <w:jc w:val="center"/>
              <w:rPr>
                <w:rFonts w:hint="eastAsia" w:ascii="仿宋" w:hAnsi="仿宋" w:eastAsia="仿宋" w:cs="Times New Roman"/>
                <w:color w:val="000000"/>
                <w:kern w:val="0"/>
                <w:sz w:val="28"/>
                <w:szCs w:val="28"/>
                <w:highlight w:val="none"/>
                <w:lang w:val="en-US" w:eastAsia="zh-CN"/>
              </w:rPr>
            </w:pPr>
            <w:r>
              <w:rPr>
                <w:rFonts w:hint="eastAsia" w:ascii="仿宋" w:hAnsi="仿宋" w:eastAsia="仿宋" w:cs="Times New Roman"/>
                <w:color w:val="000000"/>
                <w:kern w:val="0"/>
                <w:sz w:val="28"/>
                <w:szCs w:val="28"/>
                <w:highlight w:val="none"/>
              </w:rPr>
              <w:t>1</w:t>
            </w:r>
            <w:r>
              <w:rPr>
                <w:rFonts w:hint="eastAsia" w:ascii="仿宋" w:hAnsi="仿宋" w:eastAsia="仿宋" w:cs="Times New Roman"/>
                <w:color w:val="000000"/>
                <w:kern w:val="0"/>
                <w:sz w:val="28"/>
                <w:szCs w:val="28"/>
                <w:highlight w:val="none"/>
                <w:lang w:val="en-US" w:eastAsia="zh-CN"/>
              </w:rPr>
              <w:t>5</w:t>
            </w:r>
          </w:p>
          <w:p>
            <w:pPr>
              <w:pStyle w:val="2"/>
              <w:spacing w:line="360" w:lineRule="exact"/>
              <w:rPr>
                <w:rFonts w:hint="eastAsia"/>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67" w:type="dxa"/>
            <w:right w:w="0" w:type="dxa"/>
          </w:tblCellMar>
        </w:tblPrEx>
        <w:trPr>
          <w:trHeight w:val="5564" w:hRule="atLeast"/>
          <w:jc w:val="center"/>
        </w:trPr>
        <w:tc>
          <w:tcPr>
            <w:tcW w:w="799" w:type="dxa"/>
            <w:tcBorders>
              <w:tl2br w:val="nil"/>
              <w:tr2bl w:val="nil"/>
            </w:tcBorders>
            <w:vAlign w:val="center"/>
          </w:tcPr>
          <w:p>
            <w:pPr>
              <w:widowControl/>
              <w:spacing w:line="360" w:lineRule="exact"/>
              <w:ind w:right="108"/>
              <w:jc w:val="center"/>
              <w:rPr>
                <w:rFonts w:hint="eastAsia" w:ascii="仿宋" w:hAnsi="仿宋" w:eastAsia="仿宋" w:cs="Times New Roman"/>
                <w:color w:val="000000"/>
                <w:kern w:val="0"/>
                <w:sz w:val="28"/>
                <w:szCs w:val="28"/>
                <w:highlight w:val="none"/>
                <w:lang w:eastAsia="zh-CN"/>
              </w:rPr>
            </w:pPr>
            <w:r>
              <w:rPr>
                <w:rFonts w:hint="eastAsia" w:ascii="仿宋" w:hAnsi="仿宋" w:eastAsia="仿宋" w:cs="Times New Roman"/>
                <w:color w:val="000000"/>
                <w:kern w:val="0"/>
                <w:sz w:val="28"/>
                <w:szCs w:val="28"/>
                <w:highlight w:val="none"/>
                <w:lang w:val="en-US" w:eastAsia="zh-CN"/>
              </w:rPr>
              <w:t>6</w:t>
            </w:r>
          </w:p>
        </w:tc>
        <w:tc>
          <w:tcPr>
            <w:tcW w:w="683" w:type="dxa"/>
            <w:vMerge w:val="continue"/>
            <w:tcBorders>
              <w:tl2br w:val="nil"/>
              <w:tr2bl w:val="nil"/>
            </w:tcBorders>
            <w:vAlign w:val="center"/>
          </w:tcPr>
          <w:p>
            <w:pPr>
              <w:widowControl/>
              <w:spacing w:line="360" w:lineRule="exact"/>
              <w:ind w:right="108"/>
              <w:jc w:val="center"/>
              <w:rPr>
                <w:rStyle w:val="9"/>
                <w:rFonts w:ascii="仿宋" w:hAnsi="仿宋" w:eastAsia="仿宋" w:cs="Times New Roman"/>
                <w:sz w:val="28"/>
                <w:szCs w:val="28"/>
                <w:highlight w:val="none"/>
              </w:rPr>
            </w:pPr>
          </w:p>
        </w:tc>
        <w:tc>
          <w:tcPr>
            <w:tcW w:w="1918" w:type="dxa"/>
            <w:tcBorders>
              <w:tl2br w:val="nil"/>
              <w:tr2bl w:val="nil"/>
            </w:tcBorders>
            <w:vAlign w:val="center"/>
          </w:tcPr>
          <w:p>
            <w:pPr>
              <w:widowControl/>
              <w:spacing w:line="360" w:lineRule="exact"/>
              <w:ind w:right="108"/>
              <w:jc w:val="center"/>
              <w:rPr>
                <w:rStyle w:val="9"/>
                <w:rFonts w:ascii="仿宋" w:hAnsi="仿宋" w:eastAsia="仿宋" w:cs="Times New Roman"/>
                <w:sz w:val="28"/>
                <w:szCs w:val="28"/>
                <w:highlight w:val="none"/>
              </w:rPr>
            </w:pPr>
            <w:r>
              <w:rPr>
                <w:rStyle w:val="9"/>
                <w:rFonts w:ascii="仿宋" w:hAnsi="仿宋" w:eastAsia="仿宋" w:cs="Times New Roman"/>
                <w:sz w:val="28"/>
                <w:szCs w:val="28"/>
                <w:highlight w:val="none"/>
              </w:rPr>
              <w:t>食材</w:t>
            </w:r>
            <w:r>
              <w:rPr>
                <w:rStyle w:val="9"/>
                <w:rFonts w:hint="eastAsia" w:ascii="仿宋" w:hAnsi="仿宋" w:eastAsia="仿宋" w:cs="Times New Roman"/>
                <w:sz w:val="28"/>
                <w:szCs w:val="28"/>
                <w:highlight w:val="none"/>
              </w:rPr>
              <w:t>保障</w:t>
            </w:r>
          </w:p>
        </w:tc>
        <w:tc>
          <w:tcPr>
            <w:tcW w:w="5400" w:type="dxa"/>
            <w:tcBorders>
              <w:tl2br w:val="nil"/>
              <w:tr2bl w:val="nil"/>
            </w:tcBorders>
            <w:vAlign w:val="center"/>
          </w:tcPr>
          <w:p>
            <w:pPr>
              <w:widowControl/>
              <w:spacing w:line="360" w:lineRule="exact"/>
              <w:ind w:right="108" w:firstLine="560" w:firstLineChars="200"/>
              <w:rPr>
                <w:rFonts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highlight w:val="none"/>
              </w:rPr>
              <w:t>1.</w:t>
            </w:r>
            <w:r>
              <w:rPr>
                <w:rFonts w:hint="eastAsia" w:ascii="仿宋" w:hAnsi="仿宋" w:eastAsia="仿宋" w:cs="Times New Roman"/>
                <w:color w:val="000000"/>
                <w:kern w:val="0"/>
                <w:sz w:val="28"/>
                <w:szCs w:val="28"/>
                <w:highlight w:val="none"/>
                <w:lang w:eastAsia="zh-CN"/>
              </w:rPr>
              <w:t>服务单位</w:t>
            </w:r>
            <w:r>
              <w:rPr>
                <w:rFonts w:hint="eastAsia" w:ascii="仿宋" w:hAnsi="仿宋" w:eastAsia="仿宋" w:cs="Times New Roman"/>
                <w:color w:val="000000"/>
                <w:kern w:val="0"/>
                <w:sz w:val="28"/>
                <w:szCs w:val="28"/>
                <w:highlight w:val="none"/>
              </w:rPr>
              <w:t>提供近1年内有资质（C</w:t>
            </w:r>
            <w:r>
              <w:rPr>
                <w:rFonts w:ascii="仿宋" w:hAnsi="仿宋" w:eastAsia="仿宋" w:cs="Times New Roman"/>
                <w:color w:val="000000"/>
                <w:kern w:val="0"/>
                <w:sz w:val="28"/>
                <w:szCs w:val="28"/>
                <w:highlight w:val="none"/>
              </w:rPr>
              <w:t>MA</w:t>
            </w:r>
            <w:r>
              <w:rPr>
                <w:rFonts w:hint="eastAsia" w:ascii="仿宋" w:hAnsi="仿宋" w:eastAsia="仿宋" w:cs="Times New Roman"/>
                <w:color w:val="000000"/>
                <w:kern w:val="0"/>
                <w:sz w:val="28"/>
                <w:szCs w:val="28"/>
                <w:highlight w:val="none"/>
              </w:rPr>
              <w:t>认证）的第三方检测机构出具的对主要食材（米、蔬菜、禽畜生肉、水产品、副食品、调味品）等的检验合格质检报告，每提供一项原材料报告得</w:t>
            </w:r>
            <w:r>
              <w:rPr>
                <w:rFonts w:ascii="仿宋" w:hAnsi="仿宋" w:eastAsia="仿宋" w:cs="Times New Roman"/>
                <w:color w:val="000000"/>
                <w:kern w:val="0"/>
                <w:sz w:val="28"/>
                <w:szCs w:val="28"/>
                <w:highlight w:val="none"/>
              </w:rPr>
              <w:t>1</w:t>
            </w:r>
            <w:r>
              <w:rPr>
                <w:rFonts w:hint="eastAsia" w:ascii="仿宋" w:hAnsi="仿宋" w:eastAsia="仿宋" w:cs="Times New Roman"/>
                <w:color w:val="000000"/>
                <w:kern w:val="0"/>
                <w:sz w:val="28"/>
                <w:szCs w:val="28"/>
                <w:highlight w:val="none"/>
              </w:rPr>
              <w:t>分，最高得分为</w:t>
            </w:r>
            <w:r>
              <w:rPr>
                <w:rFonts w:hint="eastAsia" w:ascii="仿宋" w:hAnsi="仿宋" w:eastAsia="仿宋" w:cs="Times New Roman"/>
                <w:color w:val="000000"/>
                <w:kern w:val="0"/>
                <w:sz w:val="28"/>
                <w:szCs w:val="28"/>
                <w:highlight w:val="none"/>
                <w:lang w:val="en-US" w:eastAsia="zh-CN"/>
              </w:rPr>
              <w:t>6</w:t>
            </w:r>
            <w:r>
              <w:rPr>
                <w:rFonts w:hint="eastAsia" w:ascii="仿宋" w:hAnsi="仿宋" w:eastAsia="仿宋" w:cs="Times New Roman"/>
                <w:color w:val="000000"/>
                <w:kern w:val="0"/>
                <w:sz w:val="28"/>
                <w:szCs w:val="28"/>
                <w:highlight w:val="none"/>
              </w:rPr>
              <w:t>分；提供近3月内本公司每天质检报告3份，得</w:t>
            </w:r>
            <w:r>
              <w:rPr>
                <w:rFonts w:hint="eastAsia" w:ascii="仿宋" w:hAnsi="仿宋" w:eastAsia="仿宋" w:cs="Times New Roman"/>
                <w:color w:val="000000"/>
                <w:kern w:val="0"/>
                <w:sz w:val="28"/>
                <w:szCs w:val="28"/>
                <w:highlight w:val="none"/>
                <w:lang w:val="en-US" w:eastAsia="zh-CN"/>
              </w:rPr>
              <w:t>6</w:t>
            </w:r>
            <w:r>
              <w:rPr>
                <w:rFonts w:hint="eastAsia" w:ascii="仿宋" w:hAnsi="仿宋" w:eastAsia="仿宋" w:cs="Times New Roman"/>
                <w:color w:val="000000"/>
                <w:kern w:val="0"/>
                <w:sz w:val="28"/>
                <w:szCs w:val="28"/>
                <w:highlight w:val="none"/>
              </w:rPr>
              <w:t>分，不提供不得分。</w:t>
            </w:r>
          </w:p>
          <w:p>
            <w:pPr>
              <w:widowControl/>
              <w:spacing w:line="360" w:lineRule="exact"/>
              <w:ind w:right="108" w:firstLine="560" w:firstLineChars="200"/>
              <w:rPr>
                <w:rFonts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highlight w:val="none"/>
              </w:rPr>
              <w:t>2.</w:t>
            </w:r>
            <w:r>
              <w:rPr>
                <w:rFonts w:ascii="仿宋" w:hAnsi="仿宋" w:eastAsia="仿宋" w:cs="Times New Roman"/>
                <w:color w:val="000000"/>
                <w:kern w:val="0"/>
                <w:sz w:val="28"/>
                <w:szCs w:val="28"/>
                <w:highlight w:val="none"/>
              </w:rPr>
              <w:t>考查</w:t>
            </w:r>
            <w:r>
              <w:rPr>
                <w:rFonts w:hint="eastAsia" w:ascii="仿宋" w:hAnsi="仿宋" w:eastAsia="仿宋" w:cs="Times New Roman"/>
                <w:color w:val="000000"/>
                <w:kern w:val="0"/>
                <w:sz w:val="28"/>
                <w:szCs w:val="28"/>
                <w:highlight w:val="none"/>
                <w:lang w:eastAsia="zh-CN"/>
              </w:rPr>
              <w:t>服务单位</w:t>
            </w:r>
            <w:r>
              <w:rPr>
                <w:rFonts w:ascii="仿宋" w:hAnsi="仿宋" w:eastAsia="仿宋" w:cs="Times New Roman"/>
                <w:color w:val="000000"/>
                <w:kern w:val="0"/>
                <w:sz w:val="28"/>
                <w:szCs w:val="28"/>
                <w:highlight w:val="none"/>
              </w:rPr>
              <w:t>是否有针对公司配送的食材购买食品安全责任险。累计赔偿限额≥人民币1000万元的，得8分；人民币500万≤累计赔偿限额＜人民币1000万元的，得5分；人民币300万≤累计赔偿限额＜人民币500万元的，得3分；累计赔偿限额＜人民币300万元，得1分。（注：须提供有效期内的保险单复印件并加盖公章，不提供不得分。）</w:t>
            </w:r>
          </w:p>
        </w:tc>
        <w:tc>
          <w:tcPr>
            <w:tcW w:w="938" w:type="dxa"/>
            <w:tcBorders>
              <w:tl2br w:val="nil"/>
              <w:tr2bl w:val="nil"/>
            </w:tcBorders>
            <w:vAlign w:val="center"/>
          </w:tcPr>
          <w:p>
            <w:pPr>
              <w:widowControl/>
              <w:spacing w:line="360" w:lineRule="exact"/>
              <w:ind w:right="110"/>
              <w:jc w:val="center"/>
              <w:rPr>
                <w:rFonts w:hint="default" w:ascii="仿宋" w:hAnsi="仿宋" w:eastAsia="仿宋" w:cs="Times New Roman"/>
                <w:color w:val="000000"/>
                <w:kern w:val="0"/>
                <w:sz w:val="28"/>
                <w:szCs w:val="28"/>
                <w:highlight w:val="none"/>
                <w:lang w:val="en-US" w:eastAsia="zh-CN"/>
              </w:rPr>
            </w:pPr>
            <w:r>
              <w:rPr>
                <w:rFonts w:hint="eastAsia" w:ascii="仿宋" w:hAnsi="仿宋" w:eastAsia="仿宋" w:cs="Times New Roman"/>
                <w:kern w:val="0"/>
                <w:sz w:val="28"/>
                <w:szCs w:val="28"/>
                <w:highlight w:val="none"/>
                <w:lang w:val="en-US" w:eastAsia="zh-C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67" w:type="dxa"/>
            <w:right w:w="0" w:type="dxa"/>
          </w:tblCellMar>
        </w:tblPrEx>
        <w:trPr>
          <w:trHeight w:val="1606" w:hRule="atLeast"/>
          <w:jc w:val="center"/>
        </w:trPr>
        <w:tc>
          <w:tcPr>
            <w:tcW w:w="799" w:type="dxa"/>
            <w:tcBorders>
              <w:tl2br w:val="nil"/>
              <w:tr2bl w:val="nil"/>
            </w:tcBorders>
            <w:vAlign w:val="center"/>
          </w:tcPr>
          <w:p>
            <w:pPr>
              <w:widowControl/>
              <w:spacing w:line="360" w:lineRule="exact"/>
              <w:ind w:right="108"/>
              <w:jc w:val="center"/>
              <w:rPr>
                <w:rFonts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highlight w:val="none"/>
                <w:lang w:val="en-US" w:eastAsia="zh-CN"/>
              </w:rPr>
              <w:t>7</w:t>
            </w:r>
            <w:r>
              <w:rPr>
                <w:rFonts w:hint="eastAsia" w:ascii="仿宋" w:hAnsi="仿宋" w:eastAsia="仿宋" w:cs="Times New Roman"/>
                <w:color w:val="000000"/>
                <w:kern w:val="0"/>
                <w:sz w:val="28"/>
                <w:szCs w:val="28"/>
                <w:highlight w:val="none"/>
              </w:rPr>
              <w:t xml:space="preserve"> </w:t>
            </w:r>
          </w:p>
        </w:tc>
        <w:tc>
          <w:tcPr>
            <w:tcW w:w="683" w:type="dxa"/>
            <w:vMerge w:val="continue"/>
            <w:tcBorders>
              <w:tl2br w:val="nil"/>
              <w:tr2bl w:val="nil"/>
            </w:tcBorders>
            <w:vAlign w:val="center"/>
          </w:tcPr>
          <w:p>
            <w:pPr>
              <w:widowControl/>
              <w:spacing w:line="360" w:lineRule="exact"/>
              <w:ind w:right="108"/>
              <w:jc w:val="center"/>
              <w:rPr>
                <w:rStyle w:val="9"/>
                <w:rFonts w:hint="eastAsia" w:ascii="仿宋" w:hAnsi="仿宋" w:eastAsia="仿宋" w:cs="Times New Roman"/>
                <w:sz w:val="28"/>
                <w:szCs w:val="28"/>
                <w:highlight w:val="none"/>
              </w:rPr>
            </w:pPr>
          </w:p>
        </w:tc>
        <w:tc>
          <w:tcPr>
            <w:tcW w:w="1918" w:type="dxa"/>
            <w:tcBorders>
              <w:tl2br w:val="nil"/>
              <w:tr2bl w:val="nil"/>
            </w:tcBorders>
            <w:vAlign w:val="center"/>
          </w:tcPr>
          <w:p>
            <w:pPr>
              <w:widowControl/>
              <w:spacing w:line="360" w:lineRule="exact"/>
              <w:ind w:right="108"/>
              <w:jc w:val="center"/>
              <w:rPr>
                <w:rStyle w:val="9"/>
                <w:rFonts w:ascii="仿宋" w:hAnsi="仿宋" w:eastAsia="仿宋" w:cs="Times New Roman"/>
                <w:sz w:val="28"/>
                <w:szCs w:val="28"/>
                <w:highlight w:val="none"/>
              </w:rPr>
            </w:pPr>
            <w:r>
              <w:rPr>
                <w:rStyle w:val="9"/>
                <w:rFonts w:hint="eastAsia" w:ascii="仿宋" w:hAnsi="仿宋" w:eastAsia="仿宋" w:cs="Times New Roman"/>
                <w:sz w:val="28"/>
                <w:szCs w:val="28"/>
                <w:highlight w:val="none"/>
              </w:rPr>
              <w:t>食材</w:t>
            </w:r>
            <w:r>
              <w:rPr>
                <w:rStyle w:val="9"/>
                <w:rFonts w:ascii="仿宋" w:hAnsi="仿宋" w:eastAsia="仿宋" w:cs="Times New Roman"/>
                <w:sz w:val="28"/>
                <w:szCs w:val="28"/>
                <w:highlight w:val="none"/>
              </w:rPr>
              <w:t>价格</w:t>
            </w:r>
          </w:p>
        </w:tc>
        <w:tc>
          <w:tcPr>
            <w:tcW w:w="5400" w:type="dxa"/>
            <w:tcBorders>
              <w:tl2br w:val="nil"/>
              <w:tr2bl w:val="nil"/>
            </w:tcBorders>
            <w:vAlign w:val="center"/>
          </w:tcPr>
          <w:p>
            <w:pPr>
              <w:widowControl/>
              <w:spacing w:line="360" w:lineRule="exact"/>
              <w:ind w:right="108" w:firstLine="560" w:firstLineChars="200"/>
              <w:rPr>
                <w:rFonts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highlight w:val="none"/>
              </w:rPr>
              <w:t>以</w:t>
            </w:r>
            <w:r>
              <w:rPr>
                <w:rFonts w:ascii="仿宋" w:hAnsi="仿宋" w:eastAsia="仿宋" w:cs="Times New Roman"/>
                <w:color w:val="000000"/>
                <w:kern w:val="0"/>
                <w:sz w:val="28"/>
                <w:szCs w:val="28"/>
                <w:highlight w:val="none"/>
              </w:rPr>
              <w:t>江门市</w:t>
            </w:r>
            <w:r>
              <w:rPr>
                <w:rFonts w:hint="eastAsia" w:ascii="仿宋" w:hAnsi="仿宋" w:eastAsia="仿宋" w:cs="Times New Roman"/>
                <w:color w:val="000000"/>
                <w:kern w:val="0"/>
                <w:sz w:val="28"/>
                <w:szCs w:val="28"/>
                <w:highlight w:val="none"/>
              </w:rPr>
              <w:t>发改局</w:t>
            </w:r>
            <w:r>
              <w:rPr>
                <w:rFonts w:ascii="仿宋" w:hAnsi="仿宋" w:eastAsia="仿宋" w:cs="Times New Roman"/>
                <w:color w:val="000000"/>
                <w:kern w:val="0"/>
                <w:sz w:val="28"/>
                <w:szCs w:val="28"/>
                <w:highlight w:val="none"/>
              </w:rPr>
              <w:t>公布</w:t>
            </w:r>
            <w:r>
              <w:rPr>
                <w:rFonts w:hint="eastAsia" w:ascii="仿宋" w:hAnsi="仿宋" w:eastAsia="仿宋" w:cs="Times New Roman"/>
                <w:color w:val="000000"/>
                <w:kern w:val="0"/>
                <w:sz w:val="28"/>
                <w:szCs w:val="28"/>
                <w:highlight w:val="none"/>
              </w:rPr>
              <w:t>的江门市</w:t>
            </w:r>
            <w:r>
              <w:rPr>
                <w:rFonts w:ascii="仿宋" w:hAnsi="仿宋" w:eastAsia="仿宋" w:cs="Times New Roman"/>
                <w:color w:val="000000"/>
                <w:kern w:val="0"/>
                <w:sz w:val="28"/>
                <w:szCs w:val="28"/>
                <w:highlight w:val="none"/>
              </w:rPr>
              <w:t>菜篮子价格</w:t>
            </w:r>
            <w:r>
              <w:rPr>
                <w:rFonts w:hint="eastAsia" w:ascii="仿宋" w:hAnsi="仿宋" w:eastAsia="仿宋" w:cs="Times New Roman"/>
                <w:color w:val="000000"/>
                <w:kern w:val="0"/>
                <w:sz w:val="28"/>
                <w:szCs w:val="28"/>
                <w:highlight w:val="none"/>
              </w:rPr>
              <w:t>为</w:t>
            </w:r>
            <w:r>
              <w:rPr>
                <w:rFonts w:ascii="仿宋" w:hAnsi="仿宋" w:eastAsia="仿宋" w:cs="Times New Roman"/>
                <w:color w:val="000000"/>
                <w:kern w:val="0"/>
                <w:sz w:val="28"/>
                <w:szCs w:val="28"/>
                <w:highlight w:val="none"/>
              </w:rPr>
              <w:t>基准价格，</w:t>
            </w:r>
            <w:r>
              <w:rPr>
                <w:rFonts w:hint="eastAsia" w:ascii="仿宋" w:hAnsi="仿宋" w:eastAsia="仿宋" w:cs="Times New Roman"/>
                <w:color w:val="000000"/>
                <w:kern w:val="0"/>
                <w:sz w:val="28"/>
                <w:szCs w:val="28"/>
                <w:highlight w:val="none"/>
                <w:lang w:eastAsia="zh-CN"/>
              </w:rPr>
              <w:t>服务单位</w:t>
            </w:r>
            <w:r>
              <w:rPr>
                <w:rFonts w:hint="eastAsia" w:ascii="仿宋" w:hAnsi="仿宋" w:eastAsia="仿宋" w:cs="Times New Roman"/>
                <w:color w:val="000000"/>
                <w:kern w:val="0"/>
                <w:sz w:val="28"/>
                <w:szCs w:val="28"/>
                <w:highlight w:val="none"/>
              </w:rPr>
              <w:t>提供折扣率报价，折扣率为0不得分，折扣率每增加1%得1分，最高得分10分。</w:t>
            </w:r>
          </w:p>
        </w:tc>
        <w:tc>
          <w:tcPr>
            <w:tcW w:w="938" w:type="dxa"/>
            <w:tcBorders>
              <w:tl2br w:val="nil"/>
              <w:tr2bl w:val="nil"/>
            </w:tcBorders>
            <w:vAlign w:val="center"/>
          </w:tcPr>
          <w:p>
            <w:pPr>
              <w:widowControl/>
              <w:spacing w:line="360" w:lineRule="exact"/>
              <w:ind w:right="110"/>
              <w:jc w:val="center"/>
              <w:rPr>
                <w:rFonts w:ascii="仿宋" w:hAnsi="仿宋" w:eastAsia="仿宋" w:cs="Times New Roman"/>
                <w:color w:val="000000"/>
                <w:kern w:val="0"/>
                <w:sz w:val="28"/>
                <w:szCs w:val="28"/>
                <w:highlight w:val="none"/>
              </w:rPr>
            </w:pPr>
            <w:r>
              <w:rPr>
                <w:rFonts w:hint="eastAsia" w:ascii="仿宋" w:hAnsi="仿宋" w:eastAsia="仿宋" w:cs="Times New Roman"/>
                <w:color w:val="000000"/>
                <w:kern w:val="0"/>
                <w:sz w:val="28"/>
                <w:szCs w:val="28"/>
                <w:highlight w:val="none"/>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67" w:type="dxa"/>
            <w:right w:w="0" w:type="dxa"/>
          </w:tblCellMar>
        </w:tblPrEx>
        <w:trPr>
          <w:trHeight w:val="4220" w:hRule="atLeast"/>
          <w:jc w:val="center"/>
        </w:trPr>
        <w:tc>
          <w:tcPr>
            <w:tcW w:w="799" w:type="dxa"/>
            <w:tcBorders>
              <w:tl2br w:val="nil"/>
              <w:tr2bl w:val="nil"/>
            </w:tcBorders>
            <w:vAlign w:val="center"/>
          </w:tcPr>
          <w:p>
            <w:pPr>
              <w:widowControl/>
              <w:spacing w:line="360" w:lineRule="exact"/>
              <w:ind w:right="108" w:rightChars="0"/>
              <w:jc w:val="center"/>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rPr>
              <w:t>8</w:t>
            </w:r>
          </w:p>
        </w:tc>
        <w:tc>
          <w:tcPr>
            <w:tcW w:w="683" w:type="dxa"/>
            <w:tcBorders>
              <w:tl2br w:val="nil"/>
              <w:tr2bl w:val="nil"/>
            </w:tcBorders>
            <w:vAlign w:val="center"/>
          </w:tcPr>
          <w:p>
            <w:pPr>
              <w:widowControl/>
              <w:spacing w:line="360" w:lineRule="exact"/>
              <w:ind w:right="108" w:rightChars="0"/>
              <w:jc w:val="center"/>
              <w:rPr>
                <w:rFonts w:hint="eastAsia" w:ascii="仿宋" w:hAnsi="仿宋" w:eastAsia="仿宋" w:cs="Times New Roman"/>
                <w:b/>
                <w:bCs/>
                <w:kern w:val="2"/>
                <w:sz w:val="28"/>
                <w:szCs w:val="28"/>
                <w:highlight w:val="none"/>
                <w:lang w:val="en-US" w:eastAsia="zh-CN" w:bidi="ar-SA"/>
              </w:rPr>
            </w:pPr>
            <w:r>
              <w:rPr>
                <w:rFonts w:hint="eastAsia" w:ascii="仿宋" w:hAnsi="仿宋" w:eastAsia="仿宋" w:cs="Times New Roman"/>
                <w:b/>
                <w:bCs/>
                <w:kern w:val="2"/>
                <w:sz w:val="28"/>
                <w:szCs w:val="28"/>
                <w:highlight w:val="none"/>
                <w:lang w:val="en-US" w:eastAsia="zh-CN" w:bidi="ar-SA"/>
              </w:rPr>
              <w:t>加分项</w:t>
            </w:r>
          </w:p>
        </w:tc>
        <w:tc>
          <w:tcPr>
            <w:tcW w:w="1918" w:type="dxa"/>
            <w:tcBorders>
              <w:tl2br w:val="nil"/>
              <w:tr2bl w:val="nil"/>
            </w:tcBorders>
            <w:vAlign w:val="center"/>
          </w:tcPr>
          <w:p>
            <w:pPr>
              <w:widowControl/>
              <w:spacing w:line="360" w:lineRule="exact"/>
              <w:ind w:right="108" w:rightChars="0"/>
              <w:jc w:val="center"/>
              <w:rPr>
                <w:rFonts w:hint="eastAsia" w:ascii="仿宋" w:hAnsi="仿宋" w:eastAsia="仿宋" w:cs="Times New Roman"/>
                <w:b w:val="0"/>
                <w:bCs w:val="0"/>
                <w:kern w:val="2"/>
                <w:sz w:val="28"/>
                <w:szCs w:val="28"/>
                <w:highlight w:val="none"/>
                <w:lang w:val="en-US" w:eastAsia="zh-CN" w:bidi="ar-SA"/>
              </w:rPr>
            </w:pPr>
            <w:r>
              <w:rPr>
                <w:rFonts w:hint="eastAsia" w:ascii="仿宋" w:hAnsi="仿宋" w:eastAsia="仿宋" w:cs="Times New Roman"/>
                <w:b/>
                <w:bCs/>
                <w:sz w:val="28"/>
                <w:szCs w:val="28"/>
                <w:highlight w:val="none"/>
              </w:rPr>
              <w:t>配送</w:t>
            </w:r>
            <w:r>
              <w:rPr>
                <w:rFonts w:ascii="仿宋" w:hAnsi="仿宋" w:eastAsia="仿宋" w:cs="Times New Roman"/>
                <w:b/>
                <w:bCs/>
                <w:sz w:val="28"/>
                <w:szCs w:val="28"/>
                <w:highlight w:val="none"/>
              </w:rPr>
              <w:t>管理体系认证</w:t>
            </w:r>
          </w:p>
        </w:tc>
        <w:tc>
          <w:tcPr>
            <w:tcW w:w="5400" w:type="dxa"/>
            <w:tcBorders>
              <w:tl2br w:val="nil"/>
              <w:tr2bl w:val="nil"/>
            </w:tcBorders>
            <w:vAlign w:val="top"/>
          </w:tcPr>
          <w:p>
            <w:pPr>
              <w:widowControl/>
              <w:spacing w:line="360" w:lineRule="exact"/>
              <w:ind w:right="108" w:rightChars="0" w:firstLine="560" w:firstLineChars="200"/>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eastAsia="zh-CN"/>
              </w:rPr>
              <w:t>服务单位</w:t>
            </w:r>
            <w:r>
              <w:rPr>
                <w:rFonts w:ascii="仿宋" w:hAnsi="仿宋" w:eastAsia="仿宋" w:cs="Times New Roman"/>
                <w:color w:val="000000"/>
                <w:kern w:val="0"/>
                <w:sz w:val="28"/>
                <w:szCs w:val="28"/>
                <w:highlight w:val="none"/>
              </w:rPr>
              <w:t>具有以下体系认证证书的，每提供一个得2分，最高得10分： 1、ISO9001质量管理体系认证； 2、ISO14001环境管理体系认证； 3、ISO45001职业健康安全管理体系认证； 4、ISO22000食品安全管理体系认证； 5、危害分析与关键控制点（HACCP）管理体系认证。 （注：须提供有效期内证书复印件并加盖公章以及国家认证认可监督管理委员会官网(http://www.cnca. gov.cn/)查询截图；未按要求提供相关材料或提供的材料不清晰导致无法判断的不得分。）</w:t>
            </w:r>
          </w:p>
        </w:tc>
        <w:tc>
          <w:tcPr>
            <w:tcW w:w="938" w:type="dxa"/>
            <w:tcBorders>
              <w:tl2br w:val="nil"/>
              <w:tr2bl w:val="nil"/>
            </w:tcBorders>
            <w:vAlign w:val="center"/>
          </w:tcPr>
          <w:p>
            <w:pPr>
              <w:widowControl/>
              <w:spacing w:line="360" w:lineRule="exact"/>
              <w:ind w:right="110" w:rightChars="0"/>
              <w:jc w:val="center"/>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rPr>
              <w:t>1</w:t>
            </w:r>
            <w:r>
              <w:rPr>
                <w:rFonts w:ascii="仿宋" w:hAnsi="仿宋" w:eastAsia="仿宋" w:cs="Times New Roman"/>
                <w:color w:val="000000"/>
                <w:kern w:val="0"/>
                <w:sz w:val="28"/>
                <w:szCs w:val="28"/>
                <w:highlight w:val="none"/>
              </w:rPr>
              <w:t>0</w:t>
            </w:r>
          </w:p>
        </w:tc>
      </w:tr>
    </w:tbl>
    <w:p>
      <w:pPr>
        <w:pStyle w:val="2"/>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12341"/>
    <w:multiLevelType w:val="singleLevel"/>
    <w:tmpl w:val="77F1234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jMTQ2MmFlMTI3NTU2NjYwZGRhOTQ0ZDI2YmU0ZTIifQ=="/>
  </w:docVars>
  <w:rsids>
    <w:rsidRoot w:val="192F1C53"/>
    <w:rsid w:val="000A39DD"/>
    <w:rsid w:val="000A4D0D"/>
    <w:rsid w:val="000E4B69"/>
    <w:rsid w:val="000F72EC"/>
    <w:rsid w:val="0010592A"/>
    <w:rsid w:val="0011333C"/>
    <w:rsid w:val="00181B06"/>
    <w:rsid w:val="001C54B0"/>
    <w:rsid w:val="00217CAA"/>
    <w:rsid w:val="0022764E"/>
    <w:rsid w:val="00253497"/>
    <w:rsid w:val="00256A20"/>
    <w:rsid w:val="002F2FAE"/>
    <w:rsid w:val="00327ABC"/>
    <w:rsid w:val="00386C09"/>
    <w:rsid w:val="004155FA"/>
    <w:rsid w:val="00440BD1"/>
    <w:rsid w:val="00444802"/>
    <w:rsid w:val="0048536C"/>
    <w:rsid w:val="004D0994"/>
    <w:rsid w:val="00516F57"/>
    <w:rsid w:val="005405DD"/>
    <w:rsid w:val="005677BB"/>
    <w:rsid w:val="00575AE6"/>
    <w:rsid w:val="005B2358"/>
    <w:rsid w:val="005C24A7"/>
    <w:rsid w:val="005D2948"/>
    <w:rsid w:val="005D7057"/>
    <w:rsid w:val="00684CFC"/>
    <w:rsid w:val="006B37E9"/>
    <w:rsid w:val="00715E72"/>
    <w:rsid w:val="00760CDA"/>
    <w:rsid w:val="00777AAB"/>
    <w:rsid w:val="007F142F"/>
    <w:rsid w:val="00833DB1"/>
    <w:rsid w:val="00883035"/>
    <w:rsid w:val="00896695"/>
    <w:rsid w:val="008B3592"/>
    <w:rsid w:val="008E4C95"/>
    <w:rsid w:val="008F0244"/>
    <w:rsid w:val="009061D4"/>
    <w:rsid w:val="00920A27"/>
    <w:rsid w:val="00955CC6"/>
    <w:rsid w:val="00985381"/>
    <w:rsid w:val="009A17F0"/>
    <w:rsid w:val="00A06B7B"/>
    <w:rsid w:val="00A4016C"/>
    <w:rsid w:val="00A408FF"/>
    <w:rsid w:val="00A91351"/>
    <w:rsid w:val="00AD3527"/>
    <w:rsid w:val="00BA1A5A"/>
    <w:rsid w:val="00BA45FF"/>
    <w:rsid w:val="00BF2CDA"/>
    <w:rsid w:val="00C5305A"/>
    <w:rsid w:val="00C6332D"/>
    <w:rsid w:val="00C94002"/>
    <w:rsid w:val="00CC67E8"/>
    <w:rsid w:val="00D26CA0"/>
    <w:rsid w:val="00D322A8"/>
    <w:rsid w:val="00D34B28"/>
    <w:rsid w:val="00D51152"/>
    <w:rsid w:val="00D75ECD"/>
    <w:rsid w:val="00D8654F"/>
    <w:rsid w:val="00DD3614"/>
    <w:rsid w:val="00E57E6C"/>
    <w:rsid w:val="00E62E95"/>
    <w:rsid w:val="00EE78F4"/>
    <w:rsid w:val="00F27F9E"/>
    <w:rsid w:val="00F32136"/>
    <w:rsid w:val="00F3439B"/>
    <w:rsid w:val="00FE3656"/>
    <w:rsid w:val="02281ED3"/>
    <w:rsid w:val="02975B37"/>
    <w:rsid w:val="03D07704"/>
    <w:rsid w:val="04501D97"/>
    <w:rsid w:val="04A138A9"/>
    <w:rsid w:val="06A17C3D"/>
    <w:rsid w:val="078C102A"/>
    <w:rsid w:val="09C4763F"/>
    <w:rsid w:val="0AD5188C"/>
    <w:rsid w:val="0BAC4863"/>
    <w:rsid w:val="0DE76AAC"/>
    <w:rsid w:val="0EC171CA"/>
    <w:rsid w:val="101F6BAA"/>
    <w:rsid w:val="108B2400"/>
    <w:rsid w:val="12D60F9B"/>
    <w:rsid w:val="14392401"/>
    <w:rsid w:val="17312174"/>
    <w:rsid w:val="179B0C12"/>
    <w:rsid w:val="190C3C5A"/>
    <w:rsid w:val="192F1C53"/>
    <w:rsid w:val="1CFE23AD"/>
    <w:rsid w:val="1FD91F96"/>
    <w:rsid w:val="21390327"/>
    <w:rsid w:val="2284644C"/>
    <w:rsid w:val="26FF0897"/>
    <w:rsid w:val="2A962913"/>
    <w:rsid w:val="2BB71B1C"/>
    <w:rsid w:val="2F2008BC"/>
    <w:rsid w:val="31385173"/>
    <w:rsid w:val="31A830A5"/>
    <w:rsid w:val="31FB18F8"/>
    <w:rsid w:val="34121F77"/>
    <w:rsid w:val="348068E4"/>
    <w:rsid w:val="37464911"/>
    <w:rsid w:val="37AD1AB0"/>
    <w:rsid w:val="3CF38B3F"/>
    <w:rsid w:val="3CF83BC2"/>
    <w:rsid w:val="3E29617D"/>
    <w:rsid w:val="40453CAA"/>
    <w:rsid w:val="405E5286"/>
    <w:rsid w:val="41851145"/>
    <w:rsid w:val="43BE58A4"/>
    <w:rsid w:val="4570214B"/>
    <w:rsid w:val="47BB7F19"/>
    <w:rsid w:val="49832196"/>
    <w:rsid w:val="4A0A533E"/>
    <w:rsid w:val="4CF10D1B"/>
    <w:rsid w:val="4CFA048E"/>
    <w:rsid w:val="53044727"/>
    <w:rsid w:val="54F04F3F"/>
    <w:rsid w:val="55CF7B91"/>
    <w:rsid w:val="59565728"/>
    <w:rsid w:val="5BF5515F"/>
    <w:rsid w:val="5DCE0DB2"/>
    <w:rsid w:val="5E8F1D10"/>
    <w:rsid w:val="5F30490F"/>
    <w:rsid w:val="5F317537"/>
    <w:rsid w:val="62CF6B93"/>
    <w:rsid w:val="65E34E93"/>
    <w:rsid w:val="67E851FE"/>
    <w:rsid w:val="69C22F57"/>
    <w:rsid w:val="6A4826AE"/>
    <w:rsid w:val="6D932853"/>
    <w:rsid w:val="71753E71"/>
    <w:rsid w:val="726E36C4"/>
    <w:rsid w:val="731C41B1"/>
    <w:rsid w:val="73CE6A1F"/>
    <w:rsid w:val="74621AFA"/>
    <w:rsid w:val="749B21CD"/>
    <w:rsid w:val="754003EF"/>
    <w:rsid w:val="76F870A1"/>
    <w:rsid w:val="79A7168D"/>
    <w:rsid w:val="7B627F2B"/>
    <w:rsid w:val="7BDB38C4"/>
    <w:rsid w:val="CDFAE4D6"/>
    <w:rsid w:val="F7DF1D61"/>
    <w:rsid w:val="FF5E9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kern w:val="0"/>
      <w:sz w:val="20"/>
      <w:szCs w:val="20"/>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22"/>
    <w:rPr>
      <w:b/>
      <w:bCs/>
    </w:rPr>
  </w:style>
  <w:style w:type="paragraph" w:styleId="10">
    <w:name w:val="List Paragraph"/>
    <w:basedOn w:val="1"/>
    <w:unhideWhenUsed/>
    <w:qFormat/>
    <w:uiPriority w:val="99"/>
    <w:pPr>
      <w:ind w:firstLine="420" w:firstLineChars="200"/>
    </w:p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character" w:customStyle="1" w:styleId="13">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4">
    <w:name w:val="纯文本 字符"/>
    <w:link w:val="2"/>
    <w:qFormat/>
    <w:uiPriority w:val="0"/>
    <w:rPr>
      <w:rFonts w:ascii="宋体" w:hAnsi="Courier New"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344</Words>
  <Characters>1967</Characters>
  <Lines>16</Lines>
  <Paragraphs>4</Paragraphs>
  <TotalTime>12</TotalTime>
  <ScaleCrop>false</ScaleCrop>
  <LinksUpToDate>false</LinksUpToDate>
  <CharactersWithSpaces>2307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2024-08-02T01:24:00Z</dcterms:created>
  <dc:creator>李耀明</dc:creator>
  <cp:lastModifiedBy>Tingkao</cp:lastModifiedBy>
  <cp:lastPrinted>2024-08-06T04:12:00Z</cp:lastPrinted>
  <dcterms:modified xsi:type="dcterms:W3CDTF">2024-08-14T02:47:35Z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ribbonExt">
    <vt:lpwstr>{"WPSExtOfficeTab":{"OnGetEnabled":false,"OnGetVisible":false}}</vt:lpwstr>
  </property>
  <property fmtid="{D5CDD505-2E9C-101B-9397-08002B2CF9AE}" pid="4" name="ICV">
    <vt:lpwstr>CBB2FC6AD9BF41B1BE755BCC6F523E56_13</vt:lpwstr>
  </property>
</Properties>
</file>