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48" w:rsidRPr="00C704B8" w:rsidRDefault="00C704B8" w:rsidP="00C704B8">
      <w:pPr>
        <w:spacing w:beforeLines="30" w:before="93" w:afterLines="30" w:after="93" w:line="360" w:lineRule="auto"/>
        <w:jc w:val="center"/>
        <w:rPr>
          <w:rFonts w:ascii="宋体" w:eastAsia="宋体" w:hAnsi="宋体"/>
          <w:b/>
          <w:sz w:val="36"/>
        </w:rPr>
      </w:pPr>
      <w:r w:rsidRPr="00C704B8">
        <w:rPr>
          <w:rFonts w:ascii="宋体" w:eastAsia="宋体" w:hAnsi="宋体" w:hint="eastAsia"/>
          <w:b/>
          <w:sz w:val="36"/>
        </w:rPr>
        <w:t>村庄规划管制规则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b/>
          <w:sz w:val="22"/>
        </w:rPr>
      </w:pPr>
      <w:r w:rsidRPr="00C704B8">
        <w:rPr>
          <w:rFonts w:ascii="宋体" w:eastAsia="宋体" w:hAnsi="宋体" w:hint="eastAsia"/>
          <w:b/>
          <w:sz w:val="22"/>
        </w:rPr>
        <w:t xml:space="preserve">一、耕地和永久基本农田保护 </w:t>
      </w:r>
    </w:p>
    <w:p w:rsidR="00C704B8" w:rsidRPr="00C704B8" w:rsidRDefault="00C704B8" w:rsidP="00C704B8">
      <w:pPr>
        <w:spacing w:line="360" w:lineRule="auto"/>
        <w:jc w:val="left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（1）本村内已划定永久基本农田2</w:t>
      </w:r>
      <w:r w:rsidRPr="00C704B8">
        <w:rPr>
          <w:rFonts w:ascii="宋体" w:eastAsia="宋体" w:hAnsi="宋体"/>
          <w:sz w:val="22"/>
        </w:rPr>
        <w:t>13.23</w:t>
      </w:r>
      <w:r w:rsidRPr="00C704B8">
        <w:rPr>
          <w:rFonts w:ascii="宋体" w:eastAsia="宋体" w:hAnsi="宋体" w:hint="eastAsia"/>
          <w:sz w:val="22"/>
        </w:rPr>
        <w:t>公顷，主要集中在村庄中部，任何单位和个人不得擅自占用或改变用途。</w:t>
      </w:r>
    </w:p>
    <w:p w:rsidR="00C704B8" w:rsidRPr="00C704B8" w:rsidRDefault="00C704B8" w:rsidP="00C704B8">
      <w:pPr>
        <w:spacing w:line="360" w:lineRule="auto"/>
        <w:jc w:val="left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（2）本村耕地保有量2</w:t>
      </w:r>
      <w:r w:rsidRPr="00C704B8">
        <w:rPr>
          <w:rFonts w:ascii="宋体" w:eastAsia="宋体" w:hAnsi="宋体"/>
          <w:sz w:val="22"/>
        </w:rPr>
        <w:t>33.05</w:t>
      </w:r>
      <w:r w:rsidRPr="00C704B8">
        <w:rPr>
          <w:rFonts w:ascii="宋体" w:eastAsia="宋体" w:hAnsi="宋体" w:hint="eastAsia"/>
          <w:sz w:val="22"/>
        </w:rPr>
        <w:t>公顷，建设活动不得随意占用耕地；确需占用的，应按照《土地管理法》等规定办理占用审批手续。</w:t>
      </w:r>
    </w:p>
    <w:p w:rsidR="00C704B8" w:rsidRPr="00C704B8" w:rsidRDefault="00C704B8" w:rsidP="00C704B8">
      <w:pPr>
        <w:spacing w:line="360" w:lineRule="auto"/>
        <w:jc w:val="left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（3）未经批准，不得在非建设用地内进行非农业建设活动，不得进行毁林开垦、采石、挖沙、采矿、取土等活动。</w:t>
      </w:r>
    </w:p>
    <w:p w:rsidR="00C704B8" w:rsidRPr="00C704B8" w:rsidRDefault="00C704B8" w:rsidP="00C704B8">
      <w:pPr>
        <w:spacing w:line="360" w:lineRule="auto"/>
        <w:jc w:val="left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（4）坚决制止耕地闲置、抛荒，全面清理占而未用、具备耕种条件的耕地。规划期内，安排为各项建设占用的耕地，在进行合法建设之前，严禁撂荒和改变用途；</w:t>
      </w:r>
    </w:p>
    <w:p w:rsidR="00C704B8" w:rsidRPr="00C704B8" w:rsidRDefault="00C704B8" w:rsidP="00C704B8">
      <w:pPr>
        <w:spacing w:line="360" w:lineRule="auto"/>
        <w:jc w:val="left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（5）坚持建设占用耕地“占一补一、占优补优”原则，确保耕地数量和质量占补平衡。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b/>
          <w:sz w:val="22"/>
        </w:rPr>
      </w:pPr>
      <w:r w:rsidRPr="00C704B8">
        <w:rPr>
          <w:rFonts w:ascii="宋体" w:eastAsia="宋体" w:hAnsi="宋体" w:hint="eastAsia"/>
          <w:b/>
          <w:sz w:val="22"/>
        </w:rPr>
        <w:t xml:space="preserve">二、生态保护 </w:t>
      </w:r>
    </w:p>
    <w:p w:rsidR="00C704B8" w:rsidRPr="00C704B8" w:rsidRDefault="00C704B8" w:rsidP="00C704B8">
      <w:pPr>
        <w:spacing w:line="360" w:lineRule="auto"/>
        <w:jc w:val="left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（1）本村内已划入生态保护红线4</w:t>
      </w:r>
      <w:r w:rsidRPr="00C704B8">
        <w:rPr>
          <w:rFonts w:ascii="宋体" w:eastAsia="宋体" w:hAnsi="宋体"/>
          <w:sz w:val="22"/>
        </w:rPr>
        <w:t>62.67</w:t>
      </w:r>
      <w:r w:rsidRPr="00C704B8">
        <w:rPr>
          <w:rFonts w:ascii="宋体" w:eastAsia="宋体" w:hAnsi="宋体" w:hint="eastAsia"/>
          <w:sz w:val="22"/>
        </w:rPr>
        <w:t>公顷，主要包括响水潭森林公园，禁止在生态保护红线范围内从事不符合国家和省规定的建设活动。</w:t>
      </w:r>
    </w:p>
    <w:p w:rsidR="00C704B8" w:rsidRDefault="00C704B8" w:rsidP="00C704B8">
      <w:pPr>
        <w:spacing w:line="360" w:lineRule="auto"/>
        <w:jc w:val="left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（2）保护村内生态林、水域、自然保留地等生态用地，不得进行破坏生态景观、污染环境的开发建设活动，做到慎砍树、禁挖山、不填湖。</w:t>
      </w:r>
    </w:p>
    <w:p w:rsidR="00C704B8" w:rsidRDefault="00C704B8" w:rsidP="00C704B8">
      <w:pPr>
        <w:spacing w:line="360" w:lineRule="auto"/>
        <w:rPr>
          <w:rFonts w:ascii="宋体" w:eastAsia="宋体" w:hAnsi="宋体"/>
          <w:b/>
          <w:sz w:val="22"/>
        </w:rPr>
      </w:pPr>
      <w:r w:rsidRPr="00C704B8">
        <w:rPr>
          <w:rFonts w:ascii="宋体" w:eastAsia="宋体" w:hAnsi="宋体" w:hint="eastAsia"/>
          <w:b/>
          <w:sz w:val="22"/>
        </w:rPr>
        <w:t>三、</w:t>
      </w:r>
      <w:r>
        <w:rPr>
          <w:rFonts w:ascii="宋体" w:eastAsia="宋体" w:hAnsi="宋体" w:hint="eastAsia"/>
          <w:b/>
          <w:sz w:val="22"/>
        </w:rPr>
        <w:t>历史文化传承与保护</w:t>
      </w:r>
    </w:p>
    <w:p w:rsidR="00C704B8" w:rsidRDefault="00C704B8" w:rsidP="00C704B8">
      <w:pPr>
        <w:spacing w:line="360" w:lineRule="auto"/>
        <w:jc w:val="left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（1）</w:t>
      </w:r>
      <w:r>
        <w:rPr>
          <w:rFonts w:ascii="宋体" w:eastAsia="宋体" w:hAnsi="宋体" w:hint="eastAsia"/>
          <w:sz w:val="22"/>
        </w:rPr>
        <w:t>保护村内祠堂、古树、古建筑等，除必要的维护修缮外，避免进行影响历史风貌的各类建设行为</w:t>
      </w:r>
      <w:r w:rsidRPr="00C704B8">
        <w:rPr>
          <w:rFonts w:ascii="宋体" w:eastAsia="宋体" w:hAnsi="宋体" w:hint="eastAsia"/>
          <w:sz w:val="22"/>
        </w:rPr>
        <w:t>。</w:t>
      </w:r>
    </w:p>
    <w:p w:rsidR="00C704B8" w:rsidRPr="00C704B8" w:rsidRDefault="00C704B8" w:rsidP="00C704B8">
      <w:pPr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（2）新建农房应强调当地乡土文化，以岭南建筑主要色彩为主，注意与周边环境的颜色协调，兼顾和谐与特色</w:t>
      </w:r>
      <w:r w:rsidR="00EB0692">
        <w:rPr>
          <w:rFonts w:ascii="宋体" w:eastAsia="宋体" w:hAnsi="宋体" w:hint="eastAsia"/>
          <w:sz w:val="22"/>
        </w:rPr>
        <w:t>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四</w:t>
      </w:r>
      <w:r w:rsidRPr="00C704B8">
        <w:rPr>
          <w:rFonts w:ascii="宋体" w:eastAsia="宋体" w:hAnsi="宋体" w:hint="eastAsia"/>
          <w:b/>
          <w:sz w:val="22"/>
        </w:rPr>
        <w:t>、生活空间管制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本村内村庄建设用地规模为</w:t>
      </w:r>
      <w:r w:rsidR="006346B9">
        <w:rPr>
          <w:rFonts w:ascii="宋体" w:eastAsia="宋体" w:hAnsi="宋体"/>
          <w:sz w:val="22"/>
        </w:rPr>
        <w:t>63.</w:t>
      </w:r>
      <w:r w:rsidR="008C3929">
        <w:rPr>
          <w:rFonts w:ascii="宋体" w:eastAsia="宋体" w:hAnsi="宋体"/>
          <w:sz w:val="22"/>
        </w:rPr>
        <w:t>70</w:t>
      </w:r>
      <w:r w:rsidRPr="00C704B8">
        <w:rPr>
          <w:rFonts w:ascii="宋体" w:eastAsia="宋体" w:hAnsi="宋体" w:hint="eastAsia"/>
          <w:sz w:val="22"/>
        </w:rPr>
        <w:t>公顷。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1</w:t>
      </w:r>
      <w:r w:rsidRPr="00C704B8">
        <w:rPr>
          <w:rFonts w:ascii="宋体" w:eastAsia="宋体" w:hAnsi="宋体"/>
          <w:sz w:val="22"/>
        </w:rPr>
        <w:t>.</w:t>
      </w:r>
      <w:r w:rsidRPr="00C704B8">
        <w:rPr>
          <w:rFonts w:ascii="宋体" w:eastAsia="宋体" w:hAnsi="宋体" w:hint="eastAsia"/>
          <w:sz w:val="22"/>
        </w:rPr>
        <w:t>产业发展空间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（1）经营性建设用地</w:t>
      </w:r>
      <w:r w:rsidRPr="00C704B8">
        <w:rPr>
          <w:rFonts w:ascii="宋体" w:eastAsia="宋体" w:hAnsi="宋体"/>
          <w:sz w:val="22"/>
        </w:rPr>
        <w:t xml:space="preserve"> : </w:t>
      </w:r>
      <w:bookmarkStart w:id="0" w:name="_GoBack"/>
      <w:bookmarkEnd w:id="0"/>
      <w:r w:rsidRPr="00C704B8">
        <w:rPr>
          <w:rFonts w:ascii="宋体" w:eastAsia="宋体" w:hAnsi="宋体"/>
          <w:sz w:val="22"/>
        </w:rPr>
        <w:t>工业用途容积率≥2.0，建筑密度≥35%，绿地率≤30%。物流仓储用途容积率≥1.5，建筑密度≥30%，绿地率≥20%。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（2）经营性建设用地调整应经村民小组确认，由村委会审查同意，逐级报村庄规划原审批机关批准。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lastRenderedPageBreak/>
        <w:t>2</w:t>
      </w:r>
      <w:r w:rsidRPr="00C704B8">
        <w:rPr>
          <w:rFonts w:ascii="宋体" w:eastAsia="宋体" w:hAnsi="宋体"/>
          <w:sz w:val="22"/>
        </w:rPr>
        <w:t>.</w:t>
      </w:r>
      <w:r w:rsidRPr="00C704B8">
        <w:rPr>
          <w:rFonts w:ascii="宋体" w:eastAsia="宋体" w:hAnsi="宋体" w:hint="eastAsia"/>
          <w:sz w:val="22"/>
        </w:rPr>
        <w:t>农村住房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（1）本村内划定宅基地</w:t>
      </w:r>
      <w:r w:rsidR="006346B9">
        <w:rPr>
          <w:rFonts w:ascii="宋体" w:eastAsia="宋体" w:hAnsi="宋体"/>
          <w:sz w:val="22"/>
        </w:rPr>
        <w:t>48.85</w:t>
      </w:r>
      <w:r w:rsidRPr="00C704B8">
        <w:rPr>
          <w:rFonts w:ascii="宋体" w:eastAsia="宋体" w:hAnsi="宋体" w:hint="eastAsia"/>
          <w:sz w:val="22"/>
        </w:rPr>
        <w:t>公顷，规划新申请的宅基地，每户建筑基地面积控制在</w:t>
      </w:r>
      <w:r w:rsidRPr="00C704B8">
        <w:rPr>
          <w:rFonts w:ascii="宋体" w:eastAsia="宋体" w:hAnsi="宋体"/>
          <w:sz w:val="22"/>
        </w:rPr>
        <w:t>120</w:t>
      </w:r>
      <w:r w:rsidRPr="00C704B8">
        <w:rPr>
          <w:rFonts w:ascii="宋体" w:eastAsia="宋体" w:hAnsi="宋体" w:hint="eastAsia"/>
          <w:sz w:val="22"/>
        </w:rPr>
        <w:t>平方米以内，应在划定的宅基地建设范围内，且优先利用村内空闲地、闲置宅基地和未利用地。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（2）村民建房建筑层数不超过</w:t>
      </w:r>
      <w:r w:rsidRPr="00C704B8">
        <w:rPr>
          <w:rFonts w:ascii="宋体" w:eastAsia="宋体" w:hAnsi="宋体"/>
          <w:sz w:val="22"/>
        </w:rPr>
        <w:t>4层，建筑层高首层不超过3.8米，中间层3.2米，顶层3.6米，建筑高度不得超过20米。新建筑设计应充分考虑新旧建筑的结合，使新建建筑在材料、尺度、色彩上与村庄整体景观风貌相吻合。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3</w:t>
      </w:r>
      <w:r w:rsidRPr="00C704B8">
        <w:rPr>
          <w:rFonts w:ascii="宋体" w:eastAsia="宋体" w:hAnsi="宋体"/>
          <w:sz w:val="22"/>
        </w:rPr>
        <w:t>.</w:t>
      </w:r>
      <w:r w:rsidRPr="00C704B8">
        <w:rPr>
          <w:rFonts w:ascii="宋体" w:eastAsia="宋体" w:hAnsi="宋体" w:hint="eastAsia"/>
          <w:sz w:val="22"/>
        </w:rPr>
        <w:t>基础设施与公共服务设施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（1）不得占用交通用地建房。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（2）村内供水由恩平市自来水厂提供，</w:t>
      </w:r>
      <w:r w:rsidRPr="00C704B8">
        <w:rPr>
          <w:rFonts w:ascii="宋体" w:eastAsia="宋体" w:hAnsi="宋体"/>
          <w:sz w:val="22"/>
        </w:rPr>
        <w:t>污水处理设施包括生活污水处理池、污水管网。村民生活污水由污水管道收集集中到各小组污水处理设施处理。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（3）垃圾收集点、公测、污水处理设施等基础设施用地及文化活动室、卫生室、教育等公共服务设施用地，村民不得随意占用。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五</w:t>
      </w:r>
      <w:r w:rsidRPr="00C704B8">
        <w:rPr>
          <w:rFonts w:ascii="宋体" w:eastAsia="宋体" w:hAnsi="宋体" w:hint="eastAsia"/>
          <w:b/>
          <w:sz w:val="22"/>
        </w:rPr>
        <w:t>、村民安全和防灾减灾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（1）村民得宅基地选址和农房建设必须避开自然灾害易发地区。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</w:t>
      </w:r>
      <w:r w:rsidRPr="00C704B8">
        <w:rPr>
          <w:rFonts w:ascii="宋体" w:eastAsia="宋体" w:hAnsi="宋体"/>
          <w:sz w:val="22"/>
        </w:rPr>
        <w:t>2</w:t>
      </w:r>
      <w:r w:rsidRPr="00C704B8">
        <w:rPr>
          <w:rFonts w:ascii="宋体" w:eastAsia="宋体" w:hAnsi="宋体" w:hint="eastAsia"/>
          <w:sz w:val="22"/>
        </w:rPr>
        <w:t>）村庄建筑的间距和通道的设置应符合村庄消防安全的要求；道路为消防通道，不准长期堆放阻碍交通的杂物。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  <w:r w:rsidRPr="00C704B8">
        <w:rPr>
          <w:rFonts w:ascii="宋体" w:eastAsia="宋体" w:hAnsi="宋体" w:hint="eastAsia"/>
          <w:sz w:val="22"/>
        </w:rPr>
        <w:t>（</w:t>
      </w:r>
      <w:r w:rsidRPr="00C704B8">
        <w:rPr>
          <w:rFonts w:ascii="宋体" w:eastAsia="宋体" w:hAnsi="宋体"/>
          <w:sz w:val="22"/>
        </w:rPr>
        <w:t>3</w:t>
      </w:r>
      <w:r w:rsidRPr="00C704B8">
        <w:rPr>
          <w:rFonts w:ascii="宋体" w:eastAsia="宋体" w:hAnsi="宋体" w:hint="eastAsia"/>
          <w:sz w:val="22"/>
        </w:rPr>
        <w:t>）学校、广场等为防灾避险场所，紧急情况下可躲避灾害。</w:t>
      </w:r>
    </w:p>
    <w:p w:rsidR="00C704B8" w:rsidRPr="00C704B8" w:rsidRDefault="00C704B8" w:rsidP="00C704B8">
      <w:pPr>
        <w:spacing w:line="360" w:lineRule="auto"/>
        <w:rPr>
          <w:rFonts w:ascii="宋体" w:eastAsia="宋体" w:hAnsi="宋体"/>
          <w:sz w:val="22"/>
        </w:rPr>
      </w:pPr>
    </w:p>
    <w:sectPr w:rsidR="00C704B8" w:rsidRPr="00C7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82" w:rsidRDefault="00B20D82" w:rsidP="00C704B8">
      <w:r>
        <w:separator/>
      </w:r>
    </w:p>
  </w:endnote>
  <w:endnote w:type="continuationSeparator" w:id="0">
    <w:p w:rsidR="00B20D82" w:rsidRDefault="00B20D82" w:rsidP="00C7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82" w:rsidRDefault="00B20D82" w:rsidP="00C704B8">
      <w:r>
        <w:separator/>
      </w:r>
    </w:p>
  </w:footnote>
  <w:footnote w:type="continuationSeparator" w:id="0">
    <w:p w:rsidR="00B20D82" w:rsidRDefault="00B20D82" w:rsidP="00C7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48"/>
    <w:rsid w:val="002331C5"/>
    <w:rsid w:val="006346B9"/>
    <w:rsid w:val="008C3929"/>
    <w:rsid w:val="00B20D82"/>
    <w:rsid w:val="00B824E0"/>
    <w:rsid w:val="00BA570B"/>
    <w:rsid w:val="00C43548"/>
    <w:rsid w:val="00C704B8"/>
    <w:rsid w:val="00D72A08"/>
    <w:rsid w:val="00EB0692"/>
    <w:rsid w:val="00F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4E5DE"/>
  <w15:chartTrackingRefBased/>
  <w15:docId w15:val="{46C477D0-8438-4D9A-87FD-7F78B4C8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4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4B8"/>
    <w:rPr>
      <w:sz w:val="18"/>
      <w:szCs w:val="18"/>
    </w:rPr>
  </w:style>
  <w:style w:type="paragraph" w:styleId="a7">
    <w:name w:val="List Paragraph"/>
    <w:basedOn w:val="a"/>
    <w:uiPriority w:val="34"/>
    <w:qFormat/>
    <w:rsid w:val="00C704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吕迪</dc:creator>
  <cp:keywords/>
  <dc:description/>
  <cp:lastModifiedBy>吕迪</cp:lastModifiedBy>
  <cp:revision>5</cp:revision>
  <dcterms:created xsi:type="dcterms:W3CDTF">2024-01-15T02:39:00Z</dcterms:created>
  <dcterms:modified xsi:type="dcterms:W3CDTF">2024-01-17T02:18:00Z</dcterms:modified>
</cp:coreProperties>
</file>