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13B08C">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方正黑体简体" w:hAnsi="方正黑体简体" w:eastAsia="方正黑体简体" w:cs="方正黑体简体"/>
          <w:sz w:val="32"/>
          <w:szCs w:val="32"/>
        </w:rPr>
      </w:pPr>
      <w:r>
        <w:rPr>
          <w:rFonts w:hint="eastAsia" w:ascii="方正黑体简体" w:hAnsi="方正黑体简体" w:eastAsia="方正黑体简体" w:cs="方正黑体简体"/>
          <w:sz w:val="32"/>
          <w:szCs w:val="32"/>
        </w:rPr>
        <w:t>附件</w:t>
      </w:r>
    </w:p>
    <w:p w14:paraId="42FD8E45">
      <w:pPr>
        <w:keepNext w:val="0"/>
        <w:keepLines w:val="0"/>
        <w:pageBreakBefore w:val="0"/>
        <w:widowControl w:val="0"/>
        <w:kinsoku/>
        <w:wordWrap/>
        <w:overflowPunct/>
        <w:topLinePunct w:val="0"/>
        <w:autoSpaceDE/>
        <w:autoSpaceDN/>
        <w:bidi w:val="0"/>
        <w:adjustRightInd/>
        <w:snapToGrid/>
        <w:spacing w:line="560" w:lineRule="exact"/>
        <w:ind w:firstLine="440" w:firstLineChars="100"/>
        <w:jc w:val="both"/>
        <w:textAlignment w:val="auto"/>
        <w:rPr>
          <w:rFonts w:hint="eastAsia" w:ascii="方正小标宋简体" w:hAnsi="方正小标宋简体" w:eastAsia="方正小标宋简体" w:cs="方正小标宋简体"/>
          <w:sz w:val="44"/>
          <w:szCs w:val="44"/>
        </w:rPr>
      </w:pPr>
    </w:p>
    <w:p w14:paraId="7FD11C33">
      <w:pPr>
        <w:keepNext w:val="0"/>
        <w:keepLines w:val="0"/>
        <w:pageBreakBefore w:val="0"/>
        <w:widowControl w:val="0"/>
        <w:kinsoku/>
        <w:wordWrap/>
        <w:overflowPunct/>
        <w:topLinePunct w:val="0"/>
        <w:autoSpaceDE/>
        <w:autoSpaceDN/>
        <w:bidi w:val="0"/>
        <w:adjustRightInd/>
        <w:snapToGrid/>
        <w:spacing w:line="560" w:lineRule="exact"/>
        <w:ind w:firstLine="440" w:firstLineChars="10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2025年恩平市渔港（停泊区）安全应急能力提升项目采购机动消防泵评分标准</w:t>
      </w:r>
    </w:p>
    <w:p w14:paraId="49C1DAE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hint="eastAsia" w:ascii="方正仿宋简体" w:hAnsi="方正仿宋简体" w:eastAsia="方正仿宋简体" w:cs="方正仿宋简体"/>
          <w:sz w:val="32"/>
          <w:szCs w:val="32"/>
        </w:rPr>
      </w:pPr>
    </w:p>
    <w:p w14:paraId="577F810A">
      <w:pPr>
        <w:ind w:firstLine="640" w:firstLineChars="200"/>
        <w:rPr>
          <w:rFonts w:hint="eastAsia" w:ascii="方正黑体简体" w:hAnsi="方正黑体简体" w:eastAsia="方正黑体简体" w:cs="方正黑体简体"/>
          <w:sz w:val="32"/>
          <w:szCs w:val="32"/>
        </w:rPr>
      </w:pPr>
      <w:r>
        <w:rPr>
          <w:rFonts w:hint="eastAsia" w:ascii="方正黑体简体" w:hAnsi="方正黑体简体" w:eastAsia="方正黑体简体" w:cs="方正黑体简体"/>
          <w:sz w:val="32"/>
          <w:szCs w:val="32"/>
        </w:rPr>
        <w:t>一、评分选取方式</w:t>
      </w:r>
    </w:p>
    <w:p w14:paraId="5C56EEFD">
      <w:pPr>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本次采购采用综合选取的方式确定中选单位。由局小额项目评审工作组先对报名供应商进行初步评审；然后对满足初步评审要求的供应商，按照详细评审规定的评分标准进行打分。</w:t>
      </w:r>
    </w:p>
    <w:p w14:paraId="06D7A62C">
      <w:pPr>
        <w:ind w:firstLine="640" w:firstLineChars="200"/>
        <w:rPr>
          <w:rFonts w:hint="eastAsia"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局小额项目评审工作组成员对照详细评审中各评审项目对报名供应商进行评分，取各成员评分的平均值作为该供应商的得分，并按得分由高到低顺序推荐中选供应商。（说明：如报名供应商只有1家，则需满足初步审查各项审查标准，再根据详细评审的各评审项目进行综合评分，平均得分60分以上可推荐为中选单位；如报名供应商1家以上，满足初步审查各项审查标准，再按详细评审的各评审项目进行综合评分，按平均得分由高到低顺序推荐中选单位。平均得分相等时，局小额项目评审工作组视报名供应商的情况综合比较，投票确定其名次。）</w:t>
      </w:r>
    </w:p>
    <w:p w14:paraId="372C5D16">
      <w:pPr>
        <w:ind w:firstLine="640" w:firstLineChars="200"/>
        <w:rPr>
          <w:rFonts w:hint="eastAsia" w:ascii="方正黑体简体" w:hAnsi="方正黑体简体" w:eastAsia="方正黑体简体" w:cs="方正黑体简体"/>
          <w:sz w:val="32"/>
          <w:szCs w:val="32"/>
        </w:rPr>
      </w:pPr>
      <w:bookmarkStart w:id="0" w:name="_GoBack"/>
      <w:bookmarkEnd w:id="0"/>
    </w:p>
    <w:p w14:paraId="1A0EDADD">
      <w:pPr>
        <w:ind w:firstLine="640" w:firstLineChars="200"/>
        <w:rPr>
          <w:rFonts w:hint="eastAsia" w:ascii="方正黑体简体" w:hAnsi="方正黑体简体" w:eastAsia="方正黑体简体" w:cs="方正黑体简体"/>
          <w:sz w:val="32"/>
          <w:szCs w:val="32"/>
        </w:rPr>
      </w:pPr>
    </w:p>
    <w:p w14:paraId="3AC5553A">
      <w:pPr>
        <w:ind w:firstLine="640" w:firstLineChars="200"/>
        <w:rPr>
          <w:rFonts w:hint="eastAsia" w:ascii="方正黑体简体" w:hAnsi="方正黑体简体" w:eastAsia="方正黑体简体" w:cs="方正黑体简体"/>
          <w:sz w:val="32"/>
          <w:szCs w:val="32"/>
        </w:rPr>
      </w:pPr>
    </w:p>
    <w:p w14:paraId="7F469948">
      <w:pPr>
        <w:ind w:firstLine="640" w:firstLineChars="200"/>
        <w:rPr>
          <w:rFonts w:hint="eastAsia" w:ascii="方正黑体简体" w:hAnsi="方正黑体简体" w:eastAsia="方正黑体简体" w:cs="方正黑体简体"/>
          <w:sz w:val="32"/>
          <w:szCs w:val="32"/>
        </w:rPr>
      </w:pPr>
      <w:r>
        <w:rPr>
          <w:rFonts w:hint="eastAsia" w:ascii="方正黑体简体" w:hAnsi="方正黑体简体" w:eastAsia="方正黑体简体" w:cs="方正黑体简体"/>
          <w:sz w:val="32"/>
          <w:szCs w:val="32"/>
        </w:rPr>
        <w:t>二、初步审查</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26"/>
        <w:gridCol w:w="6496"/>
      </w:tblGrid>
      <w:tr w14:paraId="433FC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6" w:type="dxa"/>
            <w:shd w:val="clear" w:color="auto" w:fill="auto"/>
            <w:vAlign w:val="center"/>
          </w:tcPr>
          <w:p w14:paraId="780CB65D">
            <w:pPr>
              <w:widowControl/>
              <w:spacing w:line="400" w:lineRule="exact"/>
              <w:ind w:right="109" w:rightChars="0"/>
              <w:jc w:val="center"/>
              <w:rPr>
                <w:rFonts w:hint="eastAsia" w:ascii="方正仿宋简体" w:hAnsi="方正仿宋简体" w:eastAsia="方正仿宋简体" w:cs="方正仿宋简体"/>
                <w:b/>
                <w:color w:val="000000"/>
                <w:kern w:val="2"/>
                <w:sz w:val="28"/>
                <w:szCs w:val="28"/>
                <w:lang w:val="en-US" w:eastAsia="zh-CN" w:bidi="ar-SA"/>
              </w:rPr>
            </w:pPr>
            <w:r>
              <w:rPr>
                <w:rFonts w:hint="eastAsia" w:ascii="方正仿宋简体" w:hAnsi="方正仿宋简体" w:eastAsia="方正仿宋简体" w:cs="方正仿宋简体"/>
                <w:b/>
                <w:color w:val="000000"/>
                <w:sz w:val="28"/>
                <w:szCs w:val="28"/>
              </w:rPr>
              <w:t>审查项目</w:t>
            </w:r>
          </w:p>
        </w:tc>
        <w:tc>
          <w:tcPr>
            <w:tcW w:w="6496" w:type="dxa"/>
            <w:shd w:val="clear" w:color="auto" w:fill="auto"/>
            <w:vAlign w:val="center"/>
          </w:tcPr>
          <w:p w14:paraId="476FD37B">
            <w:pPr>
              <w:widowControl/>
              <w:spacing w:line="400" w:lineRule="exact"/>
              <w:ind w:right="107" w:rightChars="0"/>
              <w:jc w:val="center"/>
              <w:rPr>
                <w:rFonts w:hint="eastAsia" w:ascii="方正仿宋简体" w:hAnsi="方正仿宋简体" w:eastAsia="方正仿宋简体" w:cs="方正仿宋简体"/>
                <w:b/>
                <w:color w:val="000000"/>
                <w:kern w:val="2"/>
                <w:sz w:val="28"/>
                <w:szCs w:val="28"/>
                <w:lang w:val="en-US" w:eastAsia="zh-CN" w:bidi="ar-SA"/>
              </w:rPr>
            </w:pPr>
            <w:r>
              <w:rPr>
                <w:rFonts w:hint="eastAsia" w:ascii="方正仿宋简体" w:hAnsi="方正仿宋简体" w:eastAsia="方正仿宋简体" w:cs="方正仿宋简体"/>
                <w:b/>
                <w:color w:val="000000"/>
                <w:sz w:val="28"/>
                <w:szCs w:val="28"/>
              </w:rPr>
              <w:t>审查标准</w:t>
            </w:r>
          </w:p>
        </w:tc>
      </w:tr>
      <w:tr w14:paraId="0EEDC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26" w:type="dxa"/>
          </w:tcPr>
          <w:p w14:paraId="7EA6E4B6">
            <w:pPr>
              <w:jc w:val="center"/>
              <w:rPr>
                <w:rStyle w:val="8"/>
                <w:rFonts w:ascii="仿宋" w:hAnsi="仿宋" w:eastAsia="仿宋" w:cs="Times New Roman"/>
                <w:sz w:val="28"/>
                <w:szCs w:val="28"/>
              </w:rPr>
            </w:pPr>
          </w:p>
          <w:p w14:paraId="462D3E58">
            <w:pPr>
              <w:jc w:val="center"/>
              <w:rPr>
                <w:rStyle w:val="8"/>
                <w:rFonts w:ascii="仿宋" w:hAnsi="仿宋" w:eastAsia="仿宋" w:cs="Times New Roman"/>
                <w:sz w:val="28"/>
                <w:szCs w:val="28"/>
              </w:rPr>
            </w:pPr>
          </w:p>
          <w:p w14:paraId="37AF83B5">
            <w:pPr>
              <w:jc w:val="center"/>
              <w:rPr>
                <w:rStyle w:val="8"/>
                <w:rFonts w:ascii="仿宋" w:hAnsi="仿宋" w:eastAsia="仿宋" w:cs="Times New Roman"/>
                <w:sz w:val="28"/>
                <w:szCs w:val="28"/>
              </w:rPr>
            </w:pPr>
          </w:p>
          <w:p w14:paraId="59596D13">
            <w:pPr>
              <w:jc w:val="center"/>
              <w:rPr>
                <w:rStyle w:val="8"/>
                <w:rFonts w:ascii="仿宋" w:hAnsi="仿宋" w:eastAsia="仿宋" w:cs="Times New Roman"/>
                <w:sz w:val="28"/>
                <w:szCs w:val="28"/>
              </w:rPr>
            </w:pPr>
          </w:p>
          <w:p w14:paraId="2AB39095">
            <w:pPr>
              <w:jc w:val="center"/>
              <w:rPr>
                <w:rStyle w:val="8"/>
                <w:rFonts w:ascii="仿宋" w:hAnsi="仿宋" w:eastAsia="仿宋" w:cs="Times New Roman"/>
                <w:sz w:val="28"/>
                <w:szCs w:val="28"/>
              </w:rPr>
            </w:pPr>
          </w:p>
          <w:p w14:paraId="26F17851">
            <w:pPr>
              <w:jc w:val="center"/>
              <w:rPr>
                <w:rStyle w:val="8"/>
                <w:rFonts w:ascii="仿宋" w:hAnsi="仿宋" w:eastAsia="仿宋" w:cs="Times New Roman"/>
                <w:sz w:val="28"/>
                <w:szCs w:val="28"/>
              </w:rPr>
            </w:pPr>
          </w:p>
          <w:p w14:paraId="2E3B5CBC">
            <w:pPr>
              <w:jc w:val="center"/>
              <w:rPr>
                <w:vertAlign w:val="baseline"/>
              </w:rPr>
            </w:pPr>
            <w:r>
              <w:rPr>
                <w:rStyle w:val="8"/>
                <w:rFonts w:ascii="仿宋" w:hAnsi="仿宋" w:eastAsia="仿宋" w:cs="Times New Roman"/>
                <w:sz w:val="28"/>
                <w:szCs w:val="28"/>
              </w:rPr>
              <w:t>资格性审查</w:t>
            </w:r>
          </w:p>
        </w:tc>
        <w:tc>
          <w:tcPr>
            <w:tcW w:w="6496" w:type="dxa"/>
          </w:tcPr>
          <w:p w14:paraId="407445B8">
            <w:pPr>
              <w:numPr>
                <w:ilvl w:val="0"/>
                <w:numId w:val="0"/>
              </w:numP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kern w:val="2"/>
                <w:sz w:val="28"/>
                <w:szCs w:val="28"/>
                <w:lang w:val="en-US" w:eastAsia="zh-CN" w:bidi="ar-SA"/>
              </w:rPr>
              <w:t>1.</w:t>
            </w:r>
            <w:r>
              <w:rPr>
                <w:rFonts w:hint="eastAsia" w:ascii="方正仿宋简体" w:hAnsi="方正仿宋简体" w:eastAsia="方正仿宋简体" w:cs="方正仿宋简体"/>
                <w:sz w:val="28"/>
                <w:szCs w:val="28"/>
              </w:rPr>
              <w:t>符合《中华人民共和国政府采购法》第二十二条的规定；</w:t>
            </w:r>
          </w:p>
          <w:p w14:paraId="21BA68DF">
            <w:pPr>
              <w:numPr>
                <w:ilvl w:val="0"/>
                <w:numId w:val="0"/>
              </w:numP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2.具有独立承担民事责任能力的在中华人民共和国境内注册的法人</w:t>
            </w:r>
            <w:r>
              <w:rPr>
                <w:rFonts w:hint="eastAsia" w:ascii="方正仿宋简体" w:hAnsi="方正仿宋简体" w:eastAsia="方正仿宋简体" w:cs="方正仿宋简体"/>
                <w:sz w:val="28"/>
                <w:szCs w:val="28"/>
                <w:lang w:eastAsia="zh-CN"/>
              </w:rPr>
              <w:t>，</w:t>
            </w:r>
            <w:r>
              <w:rPr>
                <w:rFonts w:hint="eastAsia" w:ascii="方正仿宋简体" w:hAnsi="方正仿宋简体" w:eastAsia="方正仿宋简体" w:cs="方正仿宋简体"/>
                <w:color w:val="000000"/>
                <w:kern w:val="0"/>
                <w:sz w:val="28"/>
                <w:szCs w:val="28"/>
              </w:rPr>
              <w:t>有经年检合格的营业执照</w:t>
            </w:r>
            <w:r>
              <w:rPr>
                <w:rFonts w:hint="eastAsia" w:ascii="方正仿宋简体" w:hAnsi="方正仿宋简体" w:eastAsia="方正仿宋简体" w:cs="方正仿宋简体"/>
                <w:sz w:val="28"/>
                <w:szCs w:val="28"/>
              </w:rPr>
              <w:t>；</w:t>
            </w:r>
          </w:p>
          <w:p w14:paraId="0905FBDF">
            <w:pP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3.近三年内未被列入“信用中国”网站(www.creditchina.gov.cn)失信被执行人或重大税收违法案件当事人名单或政府采购严重违法失信行为记录名单；不处于中国政府采购网(www.ccgp.gov.cn)“政府采购严重违法失信行为信息记录”中的禁止参加政府采购活动期间，无受到政府采购行政处罚且相关信用惩戒期限未满情形；</w:t>
            </w:r>
          </w:p>
          <w:p w14:paraId="5E892673">
            <w:pPr>
              <w:rPr>
                <w:rFonts w:hint="eastAsia" w:ascii="方正仿宋简体" w:hAnsi="方正仿宋简体" w:eastAsia="方正仿宋简体" w:cs="方正仿宋简体"/>
                <w:sz w:val="28"/>
                <w:szCs w:val="28"/>
              </w:rPr>
            </w:pPr>
            <w:r>
              <w:rPr>
                <w:rFonts w:hint="eastAsia" w:ascii="方正仿宋简体" w:hAnsi="方正仿宋简体" w:eastAsia="方正仿宋简体" w:cs="方正仿宋简体"/>
                <w:sz w:val="28"/>
                <w:szCs w:val="28"/>
              </w:rPr>
              <w:t>4.具有良好的商业信誉和健全的财务会计制度；</w:t>
            </w:r>
          </w:p>
          <w:p w14:paraId="17E52213">
            <w:pPr>
              <w:rPr>
                <w:vertAlign w:val="baseline"/>
              </w:rPr>
            </w:pPr>
            <w:r>
              <w:rPr>
                <w:rFonts w:hint="eastAsia" w:ascii="方正仿宋简体" w:hAnsi="方正仿宋简体" w:eastAsia="方正仿宋简体" w:cs="方正仿宋简体"/>
                <w:sz w:val="28"/>
                <w:szCs w:val="28"/>
              </w:rPr>
              <w:t>5.本项目不接受联合体申报；不允许转包、分包。</w:t>
            </w:r>
          </w:p>
        </w:tc>
      </w:tr>
    </w:tbl>
    <w:p w14:paraId="759E0720">
      <w:pPr>
        <w:numPr>
          <w:ilvl w:val="0"/>
          <w:numId w:val="0"/>
        </w:numPr>
        <w:spacing w:line="579" w:lineRule="exact"/>
        <w:ind w:left="-420" w:leftChars="-200" w:right="-313" w:rightChars="-149" w:firstLine="640" w:firstLineChars="200"/>
        <w:rPr>
          <w:rFonts w:hint="eastAsia" w:ascii="黑体" w:hAnsi="黑体" w:eastAsia="黑体" w:cs="黑体"/>
          <w:b w:val="0"/>
          <w:bCs w:val="0"/>
          <w:kern w:val="2"/>
          <w:sz w:val="32"/>
          <w:szCs w:val="32"/>
          <w:lang w:val="en-US" w:eastAsia="zh-CN" w:bidi="ar-SA"/>
        </w:rPr>
      </w:pPr>
    </w:p>
    <w:p w14:paraId="58BD52A4">
      <w:pPr>
        <w:numPr>
          <w:ilvl w:val="0"/>
          <w:numId w:val="0"/>
        </w:numPr>
        <w:spacing w:line="579" w:lineRule="exact"/>
        <w:ind w:left="-420" w:leftChars="-200" w:right="-313" w:rightChars="-149" w:firstLine="640" w:firstLineChars="200"/>
        <w:rPr>
          <w:rFonts w:hint="eastAsia" w:ascii="黑体" w:hAnsi="黑体" w:eastAsia="黑体" w:cs="黑体"/>
          <w:b w:val="0"/>
          <w:bCs w:val="0"/>
          <w:kern w:val="2"/>
          <w:sz w:val="32"/>
          <w:szCs w:val="32"/>
          <w:lang w:val="en-US" w:eastAsia="zh-CN" w:bidi="ar-SA"/>
        </w:rPr>
      </w:pPr>
    </w:p>
    <w:p w14:paraId="0431E4F9">
      <w:pPr>
        <w:numPr>
          <w:ilvl w:val="0"/>
          <w:numId w:val="0"/>
        </w:numPr>
        <w:spacing w:line="579" w:lineRule="exact"/>
        <w:ind w:left="-420" w:leftChars="-200" w:right="-313" w:rightChars="-149" w:firstLine="640" w:firstLineChars="200"/>
        <w:rPr>
          <w:rFonts w:hint="eastAsia" w:ascii="黑体" w:hAnsi="黑体" w:eastAsia="黑体" w:cs="黑体"/>
          <w:b w:val="0"/>
          <w:bCs w:val="0"/>
          <w:kern w:val="2"/>
          <w:sz w:val="32"/>
          <w:szCs w:val="32"/>
          <w:lang w:val="en-US" w:eastAsia="zh-CN" w:bidi="ar-SA"/>
        </w:rPr>
      </w:pPr>
    </w:p>
    <w:p w14:paraId="0A4CBBFC">
      <w:pPr>
        <w:numPr>
          <w:ilvl w:val="0"/>
          <w:numId w:val="0"/>
        </w:numPr>
        <w:spacing w:line="579" w:lineRule="exact"/>
        <w:ind w:left="-420" w:leftChars="-200" w:right="-313" w:rightChars="-149" w:firstLine="640" w:firstLineChars="200"/>
        <w:rPr>
          <w:rFonts w:hint="eastAsia" w:ascii="黑体" w:hAnsi="黑体" w:eastAsia="黑体" w:cs="黑体"/>
          <w:b w:val="0"/>
          <w:bCs w:val="0"/>
          <w:kern w:val="2"/>
          <w:sz w:val="32"/>
          <w:szCs w:val="32"/>
          <w:lang w:val="en-US" w:eastAsia="zh-CN" w:bidi="ar-SA"/>
        </w:rPr>
      </w:pPr>
    </w:p>
    <w:p w14:paraId="1D8125B8">
      <w:pPr>
        <w:numPr>
          <w:ilvl w:val="0"/>
          <w:numId w:val="0"/>
        </w:numPr>
        <w:spacing w:line="579" w:lineRule="exact"/>
        <w:ind w:left="-420" w:leftChars="-200" w:right="-313" w:rightChars="-149" w:firstLine="640" w:firstLineChars="200"/>
        <w:rPr>
          <w:rFonts w:hint="eastAsia" w:ascii="黑体" w:hAnsi="黑体" w:eastAsia="黑体" w:cs="黑体"/>
          <w:b w:val="0"/>
          <w:bCs w:val="0"/>
          <w:kern w:val="2"/>
          <w:sz w:val="32"/>
          <w:szCs w:val="32"/>
          <w:lang w:val="en-US" w:eastAsia="zh-CN" w:bidi="ar-SA"/>
        </w:rPr>
      </w:pPr>
    </w:p>
    <w:p w14:paraId="464D1B82">
      <w:pPr>
        <w:numPr>
          <w:ilvl w:val="0"/>
          <w:numId w:val="0"/>
        </w:numPr>
        <w:spacing w:line="579" w:lineRule="exact"/>
        <w:ind w:left="-420" w:leftChars="-200" w:right="-313" w:rightChars="-149" w:firstLine="640" w:firstLineChars="200"/>
        <w:rPr>
          <w:rFonts w:hint="eastAsia" w:ascii="黑体" w:hAnsi="黑体" w:eastAsia="黑体" w:cs="黑体"/>
          <w:b w:val="0"/>
          <w:bCs w:val="0"/>
          <w:kern w:val="2"/>
          <w:sz w:val="32"/>
          <w:szCs w:val="32"/>
          <w:lang w:val="en-US" w:eastAsia="zh-CN" w:bidi="ar-SA"/>
        </w:rPr>
      </w:pPr>
    </w:p>
    <w:p w14:paraId="61B8A162">
      <w:pPr>
        <w:numPr>
          <w:ilvl w:val="0"/>
          <w:numId w:val="0"/>
        </w:numPr>
        <w:spacing w:line="579" w:lineRule="exact"/>
        <w:ind w:left="-420" w:leftChars="-200" w:right="-313" w:rightChars="-149" w:firstLine="640" w:firstLineChars="200"/>
        <w:rPr>
          <w:rFonts w:hint="eastAsia" w:ascii="黑体" w:hAnsi="黑体" w:eastAsia="黑体" w:cs="黑体"/>
          <w:b w:val="0"/>
          <w:bCs w:val="0"/>
          <w:kern w:val="2"/>
          <w:sz w:val="32"/>
          <w:szCs w:val="32"/>
          <w:lang w:val="en-US" w:eastAsia="zh-CN" w:bidi="ar-SA"/>
        </w:rPr>
      </w:pPr>
    </w:p>
    <w:p w14:paraId="2E74DE3C">
      <w:pPr>
        <w:numPr>
          <w:ilvl w:val="0"/>
          <w:numId w:val="0"/>
        </w:numPr>
        <w:spacing w:line="579" w:lineRule="exact"/>
        <w:ind w:left="-420" w:leftChars="-200" w:right="-313" w:rightChars="-149" w:firstLine="640" w:firstLineChars="200"/>
        <w:rPr>
          <w:rFonts w:hint="eastAsia" w:ascii="黑体" w:hAnsi="黑体" w:eastAsia="黑体" w:cs="黑体"/>
          <w:b w:val="0"/>
          <w:bCs w:val="0"/>
          <w:kern w:val="2"/>
          <w:sz w:val="32"/>
          <w:szCs w:val="32"/>
          <w:lang w:val="en-US" w:eastAsia="zh-CN" w:bidi="ar-SA"/>
        </w:rPr>
      </w:pPr>
    </w:p>
    <w:p w14:paraId="6366DFED">
      <w:pPr>
        <w:numPr>
          <w:ilvl w:val="0"/>
          <w:numId w:val="0"/>
        </w:numPr>
        <w:spacing w:line="579" w:lineRule="exact"/>
        <w:ind w:left="-420" w:leftChars="-200" w:right="-313" w:rightChars="-149" w:firstLine="640" w:firstLineChars="200"/>
        <w:rPr>
          <w:rFonts w:hint="eastAsia" w:ascii="黑体" w:hAnsi="黑体" w:eastAsia="黑体" w:cs="黑体"/>
          <w:b w:val="0"/>
          <w:bCs w:val="0"/>
          <w:sz w:val="32"/>
          <w:szCs w:val="32"/>
        </w:rPr>
      </w:pPr>
      <w:r>
        <w:rPr>
          <w:rFonts w:hint="eastAsia" w:ascii="黑体" w:hAnsi="黑体" w:eastAsia="黑体" w:cs="黑体"/>
          <w:b w:val="0"/>
          <w:bCs w:val="0"/>
          <w:kern w:val="2"/>
          <w:sz w:val="32"/>
          <w:szCs w:val="32"/>
          <w:lang w:val="en-US" w:eastAsia="zh-CN" w:bidi="ar-SA"/>
        </w:rPr>
        <w:t>三、</w:t>
      </w:r>
      <w:r>
        <w:rPr>
          <w:rFonts w:hint="eastAsia" w:ascii="黑体" w:hAnsi="黑体" w:eastAsia="黑体" w:cs="黑体"/>
          <w:b w:val="0"/>
          <w:bCs w:val="0"/>
          <w:sz w:val="32"/>
          <w:szCs w:val="32"/>
        </w:rPr>
        <w:t>详细评审</w:t>
      </w:r>
    </w:p>
    <w:tbl>
      <w:tblPr>
        <w:tblStyle w:val="5"/>
        <w:tblW w:w="9125" w:type="dxa"/>
        <w:tblInd w:w="-1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9"/>
        <w:gridCol w:w="937"/>
        <w:gridCol w:w="905"/>
        <w:gridCol w:w="6714"/>
      </w:tblGrid>
      <w:tr w14:paraId="1482A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1" w:hRule="atLeast"/>
        </w:trPr>
        <w:tc>
          <w:tcPr>
            <w:tcW w:w="569" w:type="dxa"/>
            <w:tcBorders>
              <w:top w:val="single" w:color="auto" w:sz="4" w:space="0"/>
              <w:left w:val="single" w:color="auto" w:sz="4" w:space="0"/>
              <w:bottom w:val="single" w:color="auto" w:sz="4" w:space="0"/>
              <w:right w:val="single" w:color="auto" w:sz="4" w:space="0"/>
            </w:tcBorders>
            <w:vAlign w:val="center"/>
          </w:tcPr>
          <w:p w14:paraId="670CABBC">
            <w:pPr>
              <w:jc w:val="center"/>
              <w:rPr>
                <w:rFonts w:hint="eastAsia" w:ascii="方正仿宋简体" w:hAnsi="方正仿宋简体" w:eastAsia="方正仿宋简体" w:cs="方正仿宋简体"/>
                <w:b/>
                <w:color w:val="000000"/>
                <w:sz w:val="28"/>
                <w:szCs w:val="28"/>
              </w:rPr>
            </w:pPr>
            <w:r>
              <w:rPr>
                <w:rFonts w:hint="eastAsia" w:ascii="方正仿宋简体" w:hAnsi="方正仿宋简体" w:eastAsia="方正仿宋简体" w:cs="方正仿宋简体"/>
                <w:b/>
                <w:color w:val="000000"/>
                <w:sz w:val="28"/>
                <w:szCs w:val="28"/>
              </w:rPr>
              <w:t>序号</w:t>
            </w:r>
          </w:p>
        </w:tc>
        <w:tc>
          <w:tcPr>
            <w:tcW w:w="937" w:type="dxa"/>
            <w:tcBorders>
              <w:top w:val="single" w:color="auto" w:sz="4" w:space="0"/>
              <w:left w:val="single" w:color="auto" w:sz="4" w:space="0"/>
              <w:bottom w:val="single" w:color="auto" w:sz="4" w:space="0"/>
              <w:right w:val="single" w:color="auto" w:sz="4" w:space="0"/>
            </w:tcBorders>
            <w:vAlign w:val="center"/>
          </w:tcPr>
          <w:p w14:paraId="5478B9B7">
            <w:pPr>
              <w:jc w:val="center"/>
              <w:rPr>
                <w:rFonts w:hint="eastAsia" w:ascii="方正仿宋简体" w:hAnsi="方正仿宋简体" w:eastAsia="方正仿宋简体" w:cs="方正仿宋简体"/>
                <w:b/>
                <w:color w:val="000000"/>
                <w:sz w:val="28"/>
                <w:szCs w:val="28"/>
              </w:rPr>
            </w:pPr>
            <w:r>
              <w:rPr>
                <w:rFonts w:hint="eastAsia" w:ascii="方正仿宋简体" w:hAnsi="方正仿宋简体" w:eastAsia="方正仿宋简体" w:cs="方正仿宋简体"/>
                <w:b/>
                <w:color w:val="000000"/>
                <w:sz w:val="28"/>
                <w:szCs w:val="28"/>
              </w:rPr>
              <w:t>评审项目</w:t>
            </w:r>
          </w:p>
        </w:tc>
        <w:tc>
          <w:tcPr>
            <w:tcW w:w="905" w:type="dxa"/>
            <w:tcBorders>
              <w:top w:val="single" w:color="auto" w:sz="4" w:space="0"/>
              <w:left w:val="single" w:color="auto" w:sz="4" w:space="0"/>
              <w:bottom w:val="single" w:color="auto" w:sz="4" w:space="0"/>
              <w:right w:val="single" w:color="auto" w:sz="4" w:space="0"/>
            </w:tcBorders>
            <w:vAlign w:val="center"/>
          </w:tcPr>
          <w:p w14:paraId="494F2012">
            <w:pPr>
              <w:jc w:val="center"/>
              <w:rPr>
                <w:rFonts w:hint="eastAsia" w:ascii="方正仿宋简体" w:hAnsi="方正仿宋简体" w:eastAsia="方正仿宋简体" w:cs="方正仿宋简体"/>
                <w:b/>
                <w:color w:val="000000"/>
                <w:sz w:val="28"/>
                <w:szCs w:val="28"/>
              </w:rPr>
            </w:pPr>
            <w:r>
              <w:rPr>
                <w:rFonts w:hint="eastAsia" w:ascii="方正仿宋简体" w:hAnsi="方正仿宋简体" w:eastAsia="方正仿宋简体" w:cs="方正仿宋简体"/>
                <w:b/>
                <w:color w:val="000000"/>
                <w:sz w:val="28"/>
                <w:szCs w:val="28"/>
              </w:rPr>
              <w:t>分值</w:t>
            </w:r>
          </w:p>
        </w:tc>
        <w:tc>
          <w:tcPr>
            <w:tcW w:w="6714" w:type="dxa"/>
            <w:tcBorders>
              <w:top w:val="single" w:color="auto" w:sz="4" w:space="0"/>
              <w:left w:val="single" w:color="auto" w:sz="4" w:space="0"/>
              <w:bottom w:val="single" w:color="auto" w:sz="4" w:space="0"/>
              <w:right w:val="single" w:color="auto" w:sz="4" w:space="0"/>
            </w:tcBorders>
            <w:vAlign w:val="center"/>
          </w:tcPr>
          <w:p w14:paraId="1A4ED48F">
            <w:pPr>
              <w:jc w:val="center"/>
              <w:rPr>
                <w:rFonts w:hint="eastAsia" w:ascii="方正仿宋简体" w:hAnsi="方正仿宋简体" w:eastAsia="方正仿宋简体" w:cs="方正仿宋简体"/>
                <w:b/>
                <w:color w:val="000000"/>
                <w:sz w:val="28"/>
                <w:szCs w:val="28"/>
              </w:rPr>
            </w:pPr>
            <w:r>
              <w:rPr>
                <w:rFonts w:hint="eastAsia" w:ascii="方正仿宋简体" w:hAnsi="方正仿宋简体" w:eastAsia="方正仿宋简体" w:cs="方正仿宋简体"/>
                <w:b/>
                <w:bCs/>
                <w:color w:val="000000"/>
                <w:sz w:val="28"/>
                <w:szCs w:val="28"/>
              </w:rPr>
              <w:t>评审内容</w:t>
            </w:r>
          </w:p>
        </w:tc>
      </w:tr>
      <w:tr w14:paraId="39D59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1" w:hRule="atLeast"/>
        </w:trPr>
        <w:tc>
          <w:tcPr>
            <w:tcW w:w="569" w:type="dxa"/>
            <w:tcBorders>
              <w:top w:val="single" w:color="auto" w:sz="4" w:space="0"/>
              <w:left w:val="single" w:color="auto" w:sz="4" w:space="0"/>
              <w:bottom w:val="single" w:color="auto" w:sz="4" w:space="0"/>
              <w:right w:val="single" w:color="auto" w:sz="4" w:space="0"/>
            </w:tcBorders>
            <w:vAlign w:val="center"/>
          </w:tcPr>
          <w:p w14:paraId="6D54E18A">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方正仿宋简体" w:hAnsi="方正仿宋简体" w:eastAsia="方正仿宋简体" w:cs="方正仿宋简体"/>
                <w:b w:val="0"/>
                <w:bCs/>
                <w:color w:val="000000"/>
                <w:sz w:val="28"/>
                <w:szCs w:val="28"/>
                <w:lang w:val="en-US" w:eastAsia="zh-CN"/>
              </w:rPr>
            </w:pPr>
            <w:r>
              <w:rPr>
                <w:rFonts w:hint="eastAsia" w:ascii="方正仿宋简体" w:hAnsi="方正仿宋简体" w:eastAsia="方正仿宋简体" w:cs="方正仿宋简体"/>
                <w:b w:val="0"/>
                <w:bCs/>
                <w:color w:val="000000"/>
                <w:sz w:val="28"/>
                <w:szCs w:val="28"/>
                <w:lang w:val="en-US" w:eastAsia="zh-CN"/>
              </w:rPr>
              <w:t>1</w:t>
            </w:r>
          </w:p>
        </w:tc>
        <w:tc>
          <w:tcPr>
            <w:tcW w:w="937" w:type="dxa"/>
            <w:tcBorders>
              <w:top w:val="single" w:color="auto" w:sz="4" w:space="0"/>
              <w:left w:val="single" w:color="auto" w:sz="4" w:space="0"/>
              <w:bottom w:val="single" w:color="auto" w:sz="4" w:space="0"/>
              <w:right w:val="single" w:color="auto" w:sz="4" w:space="0"/>
            </w:tcBorders>
            <w:vAlign w:val="center"/>
          </w:tcPr>
          <w:p w14:paraId="4B4B220A">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方正仿宋简体" w:hAnsi="方正仿宋简体" w:eastAsia="方正仿宋简体" w:cs="方正仿宋简体"/>
                <w:b w:val="0"/>
                <w:bCs/>
                <w:color w:val="000000"/>
                <w:sz w:val="28"/>
                <w:szCs w:val="28"/>
                <w:lang w:val="en-US" w:eastAsia="zh-CN"/>
              </w:rPr>
            </w:pPr>
            <w:r>
              <w:rPr>
                <w:rFonts w:hint="eastAsia" w:ascii="方正仿宋简体" w:hAnsi="方正仿宋简体" w:eastAsia="方正仿宋简体" w:cs="方正仿宋简体"/>
                <w:b w:val="0"/>
                <w:bCs/>
                <w:color w:val="000000"/>
                <w:sz w:val="28"/>
                <w:szCs w:val="28"/>
              </w:rPr>
              <w:t>设备技术</w:t>
            </w:r>
            <w:r>
              <w:rPr>
                <w:rFonts w:hint="eastAsia" w:ascii="方正仿宋简体" w:hAnsi="方正仿宋简体" w:eastAsia="方正仿宋简体" w:cs="方正仿宋简体"/>
                <w:b w:val="0"/>
                <w:bCs/>
                <w:color w:val="000000"/>
                <w:sz w:val="28"/>
                <w:szCs w:val="28"/>
                <w:lang w:val="en-US" w:eastAsia="zh-CN"/>
              </w:rPr>
              <w:t>参数材料</w:t>
            </w:r>
          </w:p>
        </w:tc>
        <w:tc>
          <w:tcPr>
            <w:tcW w:w="905" w:type="dxa"/>
            <w:tcBorders>
              <w:top w:val="single" w:color="auto" w:sz="4" w:space="0"/>
              <w:left w:val="single" w:color="auto" w:sz="4" w:space="0"/>
              <w:bottom w:val="single" w:color="auto" w:sz="4" w:space="0"/>
              <w:right w:val="single" w:color="auto" w:sz="4" w:space="0"/>
            </w:tcBorders>
            <w:vAlign w:val="center"/>
          </w:tcPr>
          <w:p w14:paraId="6DFEF718">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方正仿宋简体" w:hAnsi="方正仿宋简体" w:eastAsia="方正仿宋简体" w:cs="方正仿宋简体"/>
                <w:b w:val="0"/>
                <w:bCs/>
                <w:color w:val="000000"/>
                <w:sz w:val="28"/>
                <w:szCs w:val="28"/>
                <w:lang w:val="en-US" w:eastAsia="zh-CN"/>
              </w:rPr>
            </w:pPr>
            <w:r>
              <w:rPr>
                <w:rFonts w:hint="eastAsia" w:ascii="方正仿宋简体" w:hAnsi="方正仿宋简体" w:eastAsia="方正仿宋简体" w:cs="方正仿宋简体"/>
                <w:b w:val="0"/>
                <w:bCs/>
                <w:color w:val="000000"/>
                <w:sz w:val="28"/>
                <w:szCs w:val="28"/>
                <w:lang w:val="en-US" w:eastAsia="zh-CN"/>
              </w:rPr>
              <w:t>25</w:t>
            </w:r>
          </w:p>
        </w:tc>
        <w:tc>
          <w:tcPr>
            <w:tcW w:w="6714" w:type="dxa"/>
            <w:tcBorders>
              <w:top w:val="single" w:color="auto" w:sz="4" w:space="0"/>
              <w:left w:val="single" w:color="auto" w:sz="4" w:space="0"/>
              <w:bottom w:val="single" w:color="auto" w:sz="4" w:space="0"/>
              <w:right w:val="single" w:color="auto" w:sz="4" w:space="0"/>
            </w:tcBorders>
            <w:vAlign w:val="center"/>
          </w:tcPr>
          <w:p w14:paraId="1341BB08">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方正仿宋简体" w:hAnsi="方正仿宋简体" w:eastAsia="方正仿宋简体" w:cs="方正仿宋简体"/>
                <w:b w:val="0"/>
                <w:bCs/>
                <w:sz w:val="28"/>
                <w:szCs w:val="28"/>
              </w:rPr>
            </w:pPr>
            <w:r>
              <w:rPr>
                <w:rFonts w:hint="eastAsia" w:ascii="方正仿宋简体" w:hAnsi="方正仿宋简体" w:eastAsia="方正仿宋简体" w:cs="方正仿宋简体"/>
                <w:b w:val="0"/>
                <w:bCs/>
                <w:sz w:val="28"/>
                <w:szCs w:val="28"/>
              </w:rPr>
              <w:t>对机动消防泵技术参数响应、产品性能、产品质量符合性进行评审：</w:t>
            </w:r>
          </w:p>
          <w:p w14:paraId="3A67AD12">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textAlignment w:val="auto"/>
              <w:rPr>
                <w:rFonts w:hint="eastAsia" w:ascii="方正仿宋简体" w:hAnsi="方正仿宋简体" w:eastAsia="方正仿宋简体" w:cs="方正仿宋简体"/>
                <w:b w:val="0"/>
                <w:bCs/>
                <w:sz w:val="28"/>
                <w:szCs w:val="28"/>
              </w:rPr>
            </w:pPr>
            <w:r>
              <w:rPr>
                <w:rFonts w:hint="eastAsia" w:ascii="方正仿宋简体" w:hAnsi="方正仿宋简体" w:eastAsia="方正仿宋简体" w:cs="方正仿宋简体"/>
                <w:b w:val="0"/>
                <w:bCs/>
                <w:sz w:val="28"/>
                <w:szCs w:val="28"/>
              </w:rPr>
              <w:t>1.所投产品全部参数优于采购需求，提供完整产品资料、合格证等证明材料，</w:t>
            </w:r>
            <w:r>
              <w:rPr>
                <w:rFonts w:hint="eastAsia" w:ascii="方正仿宋简体" w:hAnsi="方正仿宋简体" w:eastAsia="方正仿宋简体" w:cs="方正仿宋简体"/>
                <w:b w:val="0"/>
                <w:bCs/>
                <w:sz w:val="28"/>
                <w:szCs w:val="28"/>
                <w:lang w:val="en-US" w:eastAsia="zh-CN"/>
              </w:rPr>
              <w:t>材料</w:t>
            </w:r>
            <w:r>
              <w:rPr>
                <w:rFonts w:hint="eastAsia" w:ascii="方正仿宋简体" w:hAnsi="方正仿宋简体" w:eastAsia="方正仿宋简体" w:cs="方正仿宋简体"/>
                <w:b w:val="0"/>
                <w:bCs/>
                <w:sz w:val="28"/>
                <w:szCs w:val="28"/>
              </w:rPr>
              <w:t>完整详实，得25分；</w:t>
            </w:r>
          </w:p>
          <w:p w14:paraId="7A94F78B">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方正仿宋简体" w:hAnsi="方正仿宋简体" w:eastAsia="方正仿宋简体" w:cs="方正仿宋简体"/>
                <w:b w:val="0"/>
                <w:bCs/>
                <w:sz w:val="28"/>
                <w:szCs w:val="28"/>
              </w:rPr>
            </w:pPr>
            <w:r>
              <w:rPr>
                <w:rFonts w:hint="eastAsia" w:ascii="方正仿宋简体" w:hAnsi="方正仿宋简体" w:eastAsia="方正仿宋简体" w:cs="方正仿宋简体"/>
                <w:b w:val="0"/>
                <w:bCs/>
                <w:sz w:val="28"/>
                <w:szCs w:val="28"/>
              </w:rPr>
              <w:t>2.所投产品全部参数满足采购需求，提供完整产品资料，</w:t>
            </w:r>
            <w:r>
              <w:rPr>
                <w:rFonts w:hint="eastAsia" w:ascii="方正仿宋简体" w:hAnsi="方正仿宋简体" w:eastAsia="方正仿宋简体" w:cs="方正仿宋简体"/>
                <w:b w:val="0"/>
                <w:bCs/>
                <w:sz w:val="28"/>
                <w:szCs w:val="28"/>
                <w:lang w:val="en-US" w:eastAsia="zh-CN"/>
              </w:rPr>
              <w:t>材料</w:t>
            </w:r>
            <w:r>
              <w:rPr>
                <w:rFonts w:hint="eastAsia" w:ascii="方正仿宋简体" w:hAnsi="方正仿宋简体" w:eastAsia="方正仿宋简体" w:cs="方正仿宋简体"/>
                <w:b w:val="0"/>
                <w:bCs/>
                <w:sz w:val="28"/>
                <w:szCs w:val="28"/>
              </w:rPr>
              <w:t>较完整，得18分；</w:t>
            </w:r>
          </w:p>
          <w:p w14:paraId="714BA9F8">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方正仿宋简体" w:hAnsi="方正仿宋简体" w:eastAsia="方正仿宋简体" w:cs="方正仿宋简体"/>
                <w:b w:val="0"/>
                <w:bCs/>
                <w:sz w:val="28"/>
                <w:szCs w:val="28"/>
              </w:rPr>
            </w:pPr>
            <w:r>
              <w:rPr>
                <w:rFonts w:hint="eastAsia" w:ascii="方正仿宋简体" w:hAnsi="方正仿宋简体" w:eastAsia="方正仿宋简体" w:cs="方正仿宋简体"/>
                <w:b w:val="0"/>
                <w:bCs/>
                <w:sz w:val="28"/>
                <w:szCs w:val="28"/>
              </w:rPr>
              <w:t>3.所投产品参数基本满足采购需求，提供基础产品资料，</w:t>
            </w:r>
            <w:r>
              <w:rPr>
                <w:rFonts w:hint="eastAsia" w:ascii="方正仿宋简体" w:hAnsi="方正仿宋简体" w:eastAsia="方正仿宋简体" w:cs="方正仿宋简体"/>
                <w:b w:val="0"/>
                <w:bCs/>
                <w:sz w:val="28"/>
                <w:szCs w:val="28"/>
                <w:lang w:val="en-US" w:eastAsia="zh-CN"/>
              </w:rPr>
              <w:t>材料</w:t>
            </w:r>
            <w:r>
              <w:rPr>
                <w:rFonts w:hint="eastAsia" w:ascii="方正仿宋简体" w:hAnsi="方正仿宋简体" w:eastAsia="方正仿宋简体" w:cs="方正仿宋简体"/>
                <w:b w:val="0"/>
                <w:bCs/>
                <w:sz w:val="28"/>
                <w:szCs w:val="28"/>
              </w:rPr>
              <w:t>完整性一般，得10分；</w:t>
            </w:r>
          </w:p>
          <w:p w14:paraId="74225FF7">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方正仿宋简体" w:hAnsi="方正仿宋简体" w:eastAsia="方正仿宋简体" w:cs="方正仿宋简体"/>
                <w:b w:val="0"/>
                <w:bCs/>
                <w:sz w:val="28"/>
                <w:szCs w:val="28"/>
              </w:rPr>
            </w:pPr>
            <w:r>
              <w:rPr>
                <w:rFonts w:hint="eastAsia" w:ascii="方正仿宋简体" w:hAnsi="方正仿宋简体" w:eastAsia="方正仿宋简体" w:cs="方正仿宋简体"/>
                <w:b w:val="0"/>
                <w:bCs/>
                <w:sz w:val="28"/>
                <w:szCs w:val="28"/>
              </w:rPr>
              <w:t>4.存在关键参数不满足采购需求，本项不得分。</w:t>
            </w:r>
          </w:p>
          <w:p w14:paraId="16E8B6D0">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方正仿宋简体" w:hAnsi="方正仿宋简体" w:eastAsia="方正仿宋简体" w:cs="方正仿宋简体"/>
                <w:b w:val="0"/>
                <w:bCs/>
                <w:color w:val="000000"/>
                <w:sz w:val="28"/>
                <w:szCs w:val="28"/>
              </w:rPr>
            </w:pPr>
            <w:r>
              <w:rPr>
                <w:rFonts w:hint="eastAsia" w:ascii="方正仿宋简体" w:hAnsi="方正仿宋简体" w:eastAsia="方正仿宋简体" w:cs="方正仿宋简体"/>
                <w:b w:val="0"/>
                <w:bCs/>
                <w:sz w:val="28"/>
                <w:szCs w:val="28"/>
              </w:rPr>
              <w:t>注：须提供产品彩页、合格证等证明材料复印件加盖公章。</w:t>
            </w:r>
          </w:p>
        </w:tc>
      </w:tr>
      <w:tr w14:paraId="7EC07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1" w:hRule="atLeast"/>
        </w:trPr>
        <w:tc>
          <w:tcPr>
            <w:tcW w:w="569" w:type="dxa"/>
            <w:tcBorders>
              <w:top w:val="single" w:color="auto" w:sz="4" w:space="0"/>
              <w:left w:val="single" w:color="auto" w:sz="4" w:space="0"/>
              <w:bottom w:val="single" w:color="auto" w:sz="4" w:space="0"/>
              <w:right w:val="single" w:color="auto" w:sz="4" w:space="0"/>
            </w:tcBorders>
            <w:vAlign w:val="center"/>
          </w:tcPr>
          <w:p w14:paraId="2F8A5D0A">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方正仿宋简体" w:hAnsi="方正仿宋简体" w:eastAsia="方正仿宋简体" w:cs="方正仿宋简体"/>
                <w:b w:val="0"/>
                <w:bCs/>
                <w:color w:val="000000"/>
                <w:sz w:val="28"/>
                <w:szCs w:val="28"/>
                <w:lang w:val="en-US" w:eastAsia="zh-CN"/>
              </w:rPr>
            </w:pPr>
            <w:r>
              <w:rPr>
                <w:rFonts w:hint="eastAsia" w:ascii="方正仿宋简体" w:hAnsi="方正仿宋简体" w:eastAsia="方正仿宋简体" w:cs="方正仿宋简体"/>
                <w:b w:val="0"/>
                <w:bCs/>
                <w:color w:val="000000"/>
                <w:sz w:val="28"/>
                <w:szCs w:val="28"/>
                <w:lang w:val="en-US" w:eastAsia="zh-CN"/>
              </w:rPr>
              <w:t>2</w:t>
            </w:r>
          </w:p>
        </w:tc>
        <w:tc>
          <w:tcPr>
            <w:tcW w:w="937" w:type="dxa"/>
            <w:tcBorders>
              <w:top w:val="single" w:color="auto" w:sz="4" w:space="0"/>
              <w:left w:val="single" w:color="auto" w:sz="4" w:space="0"/>
              <w:bottom w:val="single" w:color="auto" w:sz="4" w:space="0"/>
              <w:right w:val="single" w:color="auto" w:sz="4" w:space="0"/>
            </w:tcBorders>
            <w:vAlign w:val="center"/>
          </w:tcPr>
          <w:p w14:paraId="4159A5D2">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方正仿宋简体" w:hAnsi="方正仿宋简体" w:eastAsia="方正仿宋简体" w:cs="方正仿宋简体"/>
                <w:b w:val="0"/>
                <w:bCs/>
                <w:color w:val="000000"/>
                <w:sz w:val="28"/>
                <w:szCs w:val="28"/>
              </w:rPr>
            </w:pPr>
            <w:r>
              <w:rPr>
                <w:rFonts w:hint="eastAsia" w:ascii="方正仿宋简体" w:hAnsi="方正仿宋简体" w:eastAsia="方正仿宋简体" w:cs="方正仿宋简体"/>
                <w:b w:val="0"/>
                <w:bCs/>
                <w:color w:val="000000"/>
                <w:sz w:val="28"/>
                <w:szCs w:val="28"/>
              </w:rPr>
              <w:t>供货及实施方案</w:t>
            </w:r>
          </w:p>
        </w:tc>
        <w:tc>
          <w:tcPr>
            <w:tcW w:w="905" w:type="dxa"/>
            <w:tcBorders>
              <w:top w:val="single" w:color="auto" w:sz="4" w:space="0"/>
              <w:left w:val="single" w:color="auto" w:sz="4" w:space="0"/>
              <w:bottom w:val="single" w:color="auto" w:sz="4" w:space="0"/>
              <w:right w:val="single" w:color="auto" w:sz="4" w:space="0"/>
            </w:tcBorders>
            <w:vAlign w:val="center"/>
          </w:tcPr>
          <w:p w14:paraId="1B0CC96B">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方正仿宋简体" w:hAnsi="方正仿宋简体" w:eastAsia="方正仿宋简体" w:cs="方正仿宋简体"/>
                <w:b w:val="0"/>
                <w:bCs/>
                <w:color w:val="000000"/>
                <w:sz w:val="28"/>
                <w:szCs w:val="28"/>
                <w:lang w:val="en-US" w:eastAsia="zh-CN"/>
              </w:rPr>
            </w:pPr>
            <w:r>
              <w:rPr>
                <w:rFonts w:hint="eastAsia" w:ascii="方正仿宋简体" w:hAnsi="方正仿宋简体" w:eastAsia="方正仿宋简体" w:cs="方正仿宋简体"/>
                <w:b w:val="0"/>
                <w:bCs/>
                <w:color w:val="000000"/>
                <w:sz w:val="28"/>
                <w:szCs w:val="28"/>
                <w:lang w:val="en-US" w:eastAsia="zh-CN"/>
              </w:rPr>
              <w:t>20</w:t>
            </w:r>
          </w:p>
        </w:tc>
        <w:tc>
          <w:tcPr>
            <w:tcW w:w="6714" w:type="dxa"/>
            <w:tcBorders>
              <w:top w:val="single" w:color="auto" w:sz="4" w:space="0"/>
              <w:left w:val="single" w:color="auto" w:sz="4" w:space="0"/>
              <w:bottom w:val="single" w:color="auto" w:sz="4" w:space="0"/>
              <w:right w:val="single" w:color="auto" w:sz="4" w:space="0"/>
            </w:tcBorders>
            <w:vAlign w:val="center"/>
          </w:tcPr>
          <w:p w14:paraId="66942056">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方正仿宋简体" w:hAnsi="方正仿宋简体" w:eastAsia="方正仿宋简体" w:cs="方正仿宋简体"/>
                <w:b w:val="0"/>
                <w:bCs/>
                <w:sz w:val="28"/>
                <w:szCs w:val="28"/>
              </w:rPr>
            </w:pPr>
            <w:r>
              <w:rPr>
                <w:rFonts w:hint="eastAsia" w:ascii="方正仿宋简体" w:hAnsi="方正仿宋简体" w:eastAsia="方正仿宋简体" w:cs="方正仿宋简体"/>
                <w:b w:val="0"/>
                <w:bCs/>
                <w:sz w:val="28"/>
                <w:szCs w:val="28"/>
              </w:rPr>
              <w:t>对供货组织、运输、现场卸货、安装调试、交付保障方案进行评审：</w:t>
            </w:r>
          </w:p>
          <w:p w14:paraId="2DB4AA63">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方正仿宋简体" w:hAnsi="方正仿宋简体" w:eastAsia="方正仿宋简体" w:cs="方正仿宋简体"/>
                <w:b w:val="0"/>
                <w:bCs/>
                <w:sz w:val="28"/>
                <w:szCs w:val="28"/>
              </w:rPr>
            </w:pPr>
            <w:r>
              <w:rPr>
                <w:rFonts w:hint="eastAsia" w:ascii="方正仿宋简体" w:hAnsi="方正仿宋简体" w:eastAsia="方正仿宋简体" w:cs="方正仿宋简体"/>
                <w:b w:val="0"/>
                <w:bCs/>
                <w:sz w:val="28"/>
                <w:szCs w:val="28"/>
              </w:rPr>
              <w:t>1.供货实施方案详尽完整，供货周期安排合理，现场调试、交付保障措施科学全面，可行性强，得20分；</w:t>
            </w:r>
          </w:p>
          <w:p w14:paraId="41CCA832">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方正仿宋简体" w:hAnsi="方正仿宋简体" w:eastAsia="方正仿宋简体" w:cs="方正仿宋简体"/>
                <w:b w:val="0"/>
                <w:bCs/>
                <w:sz w:val="28"/>
                <w:szCs w:val="28"/>
              </w:rPr>
            </w:pPr>
            <w:r>
              <w:rPr>
                <w:rFonts w:hint="eastAsia" w:ascii="方正仿宋简体" w:hAnsi="方正仿宋简体" w:eastAsia="方正仿宋简体" w:cs="方正仿宋简体"/>
                <w:b w:val="0"/>
                <w:bCs/>
                <w:sz w:val="28"/>
                <w:szCs w:val="28"/>
              </w:rPr>
              <w:t>2.供货实施方案基本完整，供货周期合理，保障措施较完善，可行性较强，得14分；</w:t>
            </w:r>
          </w:p>
          <w:p w14:paraId="380B1019">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方正仿宋简体" w:hAnsi="方正仿宋简体" w:eastAsia="方正仿宋简体" w:cs="方正仿宋简体"/>
                <w:b w:val="0"/>
                <w:bCs/>
                <w:sz w:val="28"/>
                <w:szCs w:val="28"/>
              </w:rPr>
            </w:pPr>
            <w:r>
              <w:rPr>
                <w:rFonts w:hint="eastAsia" w:ascii="方正仿宋简体" w:hAnsi="方正仿宋简体" w:eastAsia="方正仿宋简体" w:cs="方正仿宋简体"/>
                <w:b w:val="0"/>
                <w:bCs/>
                <w:sz w:val="28"/>
                <w:szCs w:val="28"/>
              </w:rPr>
              <w:t>3.供货实施方案有待完善，保障措施一般，基本具备可行性，得7分；</w:t>
            </w:r>
          </w:p>
          <w:p w14:paraId="2C776C0D">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方正仿宋简体" w:hAnsi="方正仿宋简体" w:eastAsia="方正仿宋简体" w:cs="方正仿宋简体"/>
                <w:b w:val="0"/>
                <w:bCs/>
                <w:sz w:val="28"/>
                <w:szCs w:val="28"/>
              </w:rPr>
            </w:pPr>
            <w:r>
              <w:rPr>
                <w:rFonts w:hint="eastAsia" w:ascii="方正仿宋简体" w:hAnsi="方正仿宋简体" w:eastAsia="方正仿宋简体" w:cs="方正仿宋简体"/>
                <w:b w:val="0"/>
                <w:bCs/>
                <w:sz w:val="28"/>
                <w:szCs w:val="28"/>
              </w:rPr>
              <w:t>4.方案不完整，可行性差，得2分；未提供方案不得分。</w:t>
            </w:r>
          </w:p>
        </w:tc>
      </w:tr>
      <w:tr w14:paraId="1CD95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1" w:hRule="atLeast"/>
        </w:trPr>
        <w:tc>
          <w:tcPr>
            <w:tcW w:w="569" w:type="dxa"/>
            <w:tcBorders>
              <w:top w:val="single" w:color="auto" w:sz="4" w:space="0"/>
              <w:left w:val="single" w:color="auto" w:sz="4" w:space="0"/>
              <w:bottom w:val="single" w:color="auto" w:sz="4" w:space="0"/>
              <w:right w:val="single" w:color="auto" w:sz="4" w:space="0"/>
            </w:tcBorders>
            <w:vAlign w:val="center"/>
          </w:tcPr>
          <w:p w14:paraId="40E577C6">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方正仿宋简体" w:hAnsi="方正仿宋简体" w:eastAsia="方正仿宋简体" w:cs="方正仿宋简体"/>
                <w:b w:val="0"/>
                <w:bCs/>
                <w:color w:val="000000"/>
                <w:sz w:val="28"/>
                <w:szCs w:val="28"/>
                <w:lang w:val="en-US" w:eastAsia="zh-CN"/>
              </w:rPr>
            </w:pPr>
            <w:r>
              <w:rPr>
                <w:rFonts w:hint="eastAsia" w:ascii="方正仿宋简体" w:hAnsi="方正仿宋简体" w:eastAsia="方正仿宋简体" w:cs="方正仿宋简体"/>
                <w:b w:val="0"/>
                <w:bCs/>
                <w:color w:val="000000"/>
                <w:sz w:val="28"/>
                <w:szCs w:val="28"/>
                <w:lang w:val="en-US" w:eastAsia="zh-CN"/>
              </w:rPr>
              <w:t>3</w:t>
            </w:r>
          </w:p>
        </w:tc>
        <w:tc>
          <w:tcPr>
            <w:tcW w:w="937" w:type="dxa"/>
            <w:tcBorders>
              <w:top w:val="single" w:color="auto" w:sz="4" w:space="0"/>
              <w:left w:val="single" w:color="auto" w:sz="4" w:space="0"/>
              <w:bottom w:val="single" w:color="auto" w:sz="4" w:space="0"/>
              <w:right w:val="single" w:color="auto" w:sz="4" w:space="0"/>
            </w:tcBorders>
            <w:vAlign w:val="center"/>
          </w:tcPr>
          <w:p w14:paraId="4E5B03F4">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方正仿宋简体" w:hAnsi="方正仿宋简体" w:eastAsia="方正仿宋简体" w:cs="方正仿宋简体"/>
                <w:b w:val="0"/>
                <w:bCs/>
                <w:color w:val="000000"/>
                <w:sz w:val="28"/>
                <w:szCs w:val="28"/>
              </w:rPr>
            </w:pPr>
            <w:r>
              <w:rPr>
                <w:rFonts w:hint="eastAsia" w:ascii="方正仿宋简体" w:hAnsi="方正仿宋简体" w:eastAsia="方正仿宋简体" w:cs="方正仿宋简体"/>
                <w:b w:val="0"/>
                <w:bCs/>
                <w:color w:val="000000"/>
                <w:sz w:val="28"/>
                <w:szCs w:val="28"/>
              </w:rPr>
              <w:t>售后服务方案</w:t>
            </w:r>
          </w:p>
        </w:tc>
        <w:tc>
          <w:tcPr>
            <w:tcW w:w="905" w:type="dxa"/>
            <w:tcBorders>
              <w:top w:val="single" w:color="auto" w:sz="4" w:space="0"/>
              <w:left w:val="single" w:color="auto" w:sz="4" w:space="0"/>
              <w:bottom w:val="single" w:color="auto" w:sz="4" w:space="0"/>
              <w:right w:val="single" w:color="auto" w:sz="4" w:space="0"/>
            </w:tcBorders>
            <w:vAlign w:val="center"/>
          </w:tcPr>
          <w:p w14:paraId="0FD19B3F">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方正仿宋简体" w:hAnsi="方正仿宋简体" w:eastAsia="方正仿宋简体" w:cs="方正仿宋简体"/>
                <w:b w:val="0"/>
                <w:bCs/>
                <w:color w:val="000000"/>
                <w:sz w:val="28"/>
                <w:szCs w:val="28"/>
                <w:lang w:val="en-US" w:eastAsia="zh-CN"/>
              </w:rPr>
            </w:pPr>
            <w:r>
              <w:rPr>
                <w:rFonts w:hint="eastAsia" w:ascii="方正仿宋简体" w:hAnsi="方正仿宋简体" w:eastAsia="方正仿宋简体" w:cs="方正仿宋简体"/>
                <w:b w:val="0"/>
                <w:bCs/>
                <w:color w:val="000000"/>
                <w:sz w:val="28"/>
                <w:szCs w:val="28"/>
                <w:lang w:val="en-US" w:eastAsia="zh-CN"/>
              </w:rPr>
              <w:t>20</w:t>
            </w:r>
          </w:p>
        </w:tc>
        <w:tc>
          <w:tcPr>
            <w:tcW w:w="6714" w:type="dxa"/>
            <w:tcBorders>
              <w:top w:val="single" w:color="auto" w:sz="4" w:space="0"/>
              <w:left w:val="single" w:color="auto" w:sz="4" w:space="0"/>
              <w:bottom w:val="single" w:color="auto" w:sz="4" w:space="0"/>
              <w:right w:val="single" w:color="auto" w:sz="4" w:space="0"/>
            </w:tcBorders>
            <w:vAlign w:val="center"/>
          </w:tcPr>
          <w:p w14:paraId="4B3C77DC">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方正仿宋简体" w:hAnsi="方正仿宋简体" w:eastAsia="方正仿宋简体" w:cs="方正仿宋简体"/>
                <w:b w:val="0"/>
                <w:bCs/>
                <w:sz w:val="28"/>
                <w:szCs w:val="28"/>
              </w:rPr>
            </w:pPr>
            <w:r>
              <w:rPr>
                <w:rFonts w:hint="eastAsia" w:ascii="方正仿宋简体" w:hAnsi="方正仿宋简体" w:eastAsia="方正仿宋简体" w:cs="方正仿宋简体"/>
                <w:b w:val="0"/>
                <w:bCs/>
                <w:sz w:val="28"/>
                <w:szCs w:val="28"/>
              </w:rPr>
              <w:t>对质保期限、故障响应、维修更换、技术指导培训等售后服务承诺及方案评审：</w:t>
            </w:r>
          </w:p>
          <w:p w14:paraId="1BF7D371">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方正仿宋简体" w:hAnsi="方正仿宋简体" w:eastAsia="方正仿宋简体" w:cs="方正仿宋简体"/>
                <w:b w:val="0"/>
                <w:bCs/>
                <w:sz w:val="28"/>
                <w:szCs w:val="28"/>
              </w:rPr>
            </w:pPr>
            <w:r>
              <w:rPr>
                <w:rFonts w:hint="eastAsia" w:ascii="方正仿宋简体" w:hAnsi="方正仿宋简体" w:eastAsia="方正仿宋简体" w:cs="方正仿宋简体"/>
                <w:b w:val="0"/>
                <w:bCs/>
                <w:sz w:val="28"/>
                <w:szCs w:val="28"/>
              </w:rPr>
              <w:t>1.售后服务方案完善完整，质保期优于采购常规要求，故障响应、维修更换机制清晰，可行性强，得20分；</w:t>
            </w:r>
          </w:p>
          <w:p w14:paraId="79E51E01">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方正仿宋简体" w:hAnsi="方正仿宋简体" w:eastAsia="方正仿宋简体" w:cs="方正仿宋简体"/>
                <w:b w:val="0"/>
                <w:bCs/>
                <w:sz w:val="28"/>
                <w:szCs w:val="28"/>
              </w:rPr>
            </w:pPr>
            <w:r>
              <w:rPr>
                <w:rFonts w:hint="eastAsia" w:ascii="方正仿宋简体" w:hAnsi="方正仿宋简体" w:eastAsia="方正仿宋简体" w:cs="方正仿宋简体"/>
                <w:b w:val="0"/>
                <w:bCs/>
                <w:sz w:val="28"/>
                <w:szCs w:val="28"/>
              </w:rPr>
              <w:t>2.售后服务方案基本完善，满足常规质保要求，响应机制较清晰，有一定可行性，得14分；</w:t>
            </w:r>
          </w:p>
          <w:p w14:paraId="45451A84">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方正仿宋简体" w:hAnsi="方正仿宋简体" w:eastAsia="方正仿宋简体" w:cs="方正仿宋简体"/>
                <w:b w:val="0"/>
                <w:bCs/>
                <w:sz w:val="28"/>
                <w:szCs w:val="28"/>
              </w:rPr>
            </w:pPr>
            <w:r>
              <w:rPr>
                <w:rFonts w:hint="eastAsia" w:ascii="方正仿宋简体" w:hAnsi="方正仿宋简体" w:eastAsia="方正仿宋简体" w:cs="方正仿宋简体"/>
                <w:b w:val="0"/>
                <w:bCs/>
                <w:sz w:val="28"/>
                <w:szCs w:val="28"/>
              </w:rPr>
              <w:t>3.售后服务方案一般，基本满足项目最低质保要求，可行性一般，得7分；</w:t>
            </w:r>
          </w:p>
          <w:p w14:paraId="292BE3DB">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方正仿宋简体" w:hAnsi="方正仿宋简体" w:eastAsia="方正仿宋简体" w:cs="方正仿宋简体"/>
                <w:b w:val="0"/>
                <w:bCs/>
                <w:sz w:val="28"/>
                <w:szCs w:val="28"/>
              </w:rPr>
            </w:pPr>
            <w:r>
              <w:rPr>
                <w:rFonts w:hint="eastAsia" w:ascii="方正仿宋简体" w:hAnsi="方正仿宋简体" w:eastAsia="方正仿宋简体" w:cs="方正仿宋简体"/>
                <w:b w:val="0"/>
                <w:bCs/>
                <w:sz w:val="28"/>
                <w:szCs w:val="28"/>
              </w:rPr>
              <w:t>4.售后服务方案不完善，可行性不强，得2分；未提供方案不得分。</w:t>
            </w:r>
          </w:p>
        </w:tc>
      </w:tr>
      <w:tr w14:paraId="0A4C5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1" w:hRule="atLeast"/>
        </w:trPr>
        <w:tc>
          <w:tcPr>
            <w:tcW w:w="569" w:type="dxa"/>
            <w:tcBorders>
              <w:top w:val="single" w:color="auto" w:sz="4" w:space="0"/>
              <w:left w:val="single" w:color="auto" w:sz="4" w:space="0"/>
              <w:bottom w:val="single" w:color="auto" w:sz="4" w:space="0"/>
              <w:right w:val="single" w:color="auto" w:sz="4" w:space="0"/>
            </w:tcBorders>
            <w:vAlign w:val="center"/>
          </w:tcPr>
          <w:p w14:paraId="1505BCAE">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方正仿宋简体" w:hAnsi="方正仿宋简体" w:eastAsia="方正仿宋简体" w:cs="方正仿宋简体"/>
                <w:b w:val="0"/>
                <w:bCs/>
                <w:color w:val="000000"/>
                <w:sz w:val="28"/>
                <w:szCs w:val="28"/>
                <w:lang w:val="en-US" w:eastAsia="zh-CN"/>
              </w:rPr>
            </w:pPr>
            <w:r>
              <w:rPr>
                <w:rFonts w:hint="eastAsia" w:ascii="方正仿宋简体" w:hAnsi="方正仿宋简体" w:eastAsia="方正仿宋简体" w:cs="方正仿宋简体"/>
                <w:b w:val="0"/>
                <w:bCs/>
                <w:color w:val="000000"/>
                <w:sz w:val="28"/>
                <w:szCs w:val="28"/>
                <w:lang w:val="en-US" w:eastAsia="zh-CN"/>
              </w:rPr>
              <w:t>4</w:t>
            </w:r>
          </w:p>
        </w:tc>
        <w:tc>
          <w:tcPr>
            <w:tcW w:w="937" w:type="dxa"/>
            <w:tcBorders>
              <w:top w:val="single" w:color="auto" w:sz="4" w:space="0"/>
              <w:left w:val="single" w:color="auto" w:sz="4" w:space="0"/>
              <w:bottom w:val="single" w:color="auto" w:sz="4" w:space="0"/>
              <w:right w:val="single" w:color="auto" w:sz="4" w:space="0"/>
            </w:tcBorders>
            <w:vAlign w:val="center"/>
          </w:tcPr>
          <w:p w14:paraId="02B74CDA">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方正仿宋简体" w:hAnsi="方正仿宋简体" w:eastAsia="方正仿宋简体" w:cs="方正仿宋简体"/>
                <w:b w:val="0"/>
                <w:bCs/>
                <w:color w:val="000000"/>
                <w:sz w:val="28"/>
                <w:szCs w:val="28"/>
              </w:rPr>
            </w:pPr>
            <w:r>
              <w:rPr>
                <w:rFonts w:hint="eastAsia" w:ascii="方正仿宋简体" w:hAnsi="方正仿宋简体" w:eastAsia="方正仿宋简体" w:cs="方正仿宋简体"/>
                <w:b w:val="0"/>
                <w:bCs/>
                <w:color w:val="000000"/>
                <w:sz w:val="28"/>
                <w:szCs w:val="28"/>
              </w:rPr>
              <w:t>项目业绩</w:t>
            </w:r>
          </w:p>
        </w:tc>
        <w:tc>
          <w:tcPr>
            <w:tcW w:w="905" w:type="dxa"/>
            <w:tcBorders>
              <w:top w:val="single" w:color="auto" w:sz="4" w:space="0"/>
              <w:left w:val="single" w:color="auto" w:sz="4" w:space="0"/>
              <w:bottom w:val="single" w:color="auto" w:sz="4" w:space="0"/>
              <w:right w:val="single" w:color="auto" w:sz="4" w:space="0"/>
            </w:tcBorders>
            <w:vAlign w:val="center"/>
          </w:tcPr>
          <w:p w14:paraId="60A58E4B">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方正仿宋简体" w:hAnsi="方正仿宋简体" w:eastAsia="方正仿宋简体" w:cs="方正仿宋简体"/>
                <w:b w:val="0"/>
                <w:bCs/>
                <w:color w:val="000000"/>
                <w:sz w:val="28"/>
                <w:szCs w:val="28"/>
                <w:lang w:val="en-US" w:eastAsia="zh-CN"/>
              </w:rPr>
            </w:pPr>
            <w:r>
              <w:rPr>
                <w:rFonts w:hint="eastAsia" w:ascii="方正仿宋简体" w:hAnsi="方正仿宋简体" w:eastAsia="方正仿宋简体" w:cs="方正仿宋简体"/>
                <w:b w:val="0"/>
                <w:bCs/>
                <w:color w:val="000000"/>
                <w:sz w:val="28"/>
                <w:szCs w:val="28"/>
                <w:lang w:val="en-US" w:eastAsia="zh-CN"/>
              </w:rPr>
              <w:t>10</w:t>
            </w:r>
          </w:p>
        </w:tc>
        <w:tc>
          <w:tcPr>
            <w:tcW w:w="6714" w:type="dxa"/>
            <w:tcBorders>
              <w:top w:val="single" w:color="auto" w:sz="4" w:space="0"/>
              <w:left w:val="single" w:color="auto" w:sz="4" w:space="0"/>
              <w:bottom w:val="single" w:color="auto" w:sz="4" w:space="0"/>
              <w:right w:val="single" w:color="auto" w:sz="4" w:space="0"/>
            </w:tcBorders>
            <w:vAlign w:val="center"/>
          </w:tcPr>
          <w:p w14:paraId="023E196F">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方正仿宋简体" w:hAnsi="方正仿宋简体" w:eastAsia="方正仿宋简体" w:cs="方正仿宋简体"/>
                <w:b w:val="0"/>
                <w:bCs/>
                <w:sz w:val="28"/>
                <w:szCs w:val="28"/>
              </w:rPr>
            </w:pPr>
            <w:r>
              <w:rPr>
                <w:rFonts w:hint="eastAsia" w:ascii="方正仿宋简体" w:hAnsi="方正仿宋简体" w:eastAsia="方正仿宋简体" w:cs="方正仿宋简体"/>
                <w:b w:val="0"/>
                <w:bCs/>
                <w:sz w:val="28"/>
                <w:szCs w:val="28"/>
              </w:rPr>
              <w:t>自2021年1月1日（以合同签订时间为准）以来承接的消防设备、渔业渔港应急设备同类项目业绩，每提供1份有效合同得2分，最高得10分。</w:t>
            </w:r>
          </w:p>
          <w:p w14:paraId="4F645B06">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方正仿宋简体" w:hAnsi="方正仿宋简体" w:eastAsia="方正仿宋简体" w:cs="方正仿宋简体"/>
                <w:b w:val="0"/>
                <w:bCs/>
                <w:sz w:val="28"/>
                <w:szCs w:val="28"/>
              </w:rPr>
            </w:pPr>
            <w:r>
              <w:rPr>
                <w:rFonts w:hint="eastAsia" w:ascii="方正仿宋简体" w:hAnsi="方正仿宋简体" w:eastAsia="方正仿宋简体" w:cs="方正仿宋简体"/>
                <w:b w:val="0"/>
                <w:bCs/>
                <w:sz w:val="28"/>
                <w:szCs w:val="28"/>
              </w:rPr>
              <w:t>注：须提供合同关键页复印件加盖公章，未提供不得分。</w:t>
            </w:r>
          </w:p>
        </w:tc>
      </w:tr>
      <w:tr w14:paraId="66F3F1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1" w:hRule="atLeast"/>
        </w:trPr>
        <w:tc>
          <w:tcPr>
            <w:tcW w:w="569" w:type="dxa"/>
            <w:tcBorders>
              <w:top w:val="single" w:color="auto" w:sz="4" w:space="0"/>
              <w:left w:val="single" w:color="auto" w:sz="4" w:space="0"/>
              <w:bottom w:val="single" w:color="auto" w:sz="4" w:space="0"/>
              <w:right w:val="single" w:color="auto" w:sz="4" w:space="0"/>
            </w:tcBorders>
            <w:vAlign w:val="center"/>
          </w:tcPr>
          <w:p w14:paraId="6B9A2F2B">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方正仿宋简体" w:hAnsi="方正仿宋简体" w:eastAsia="方正仿宋简体" w:cs="方正仿宋简体"/>
                <w:b w:val="0"/>
                <w:bCs/>
                <w:color w:val="000000"/>
                <w:sz w:val="28"/>
                <w:szCs w:val="28"/>
                <w:lang w:val="en-US" w:eastAsia="zh-CN"/>
              </w:rPr>
            </w:pPr>
            <w:r>
              <w:rPr>
                <w:rFonts w:hint="eastAsia" w:ascii="方正仿宋简体" w:hAnsi="方正仿宋简体" w:eastAsia="方正仿宋简体" w:cs="方正仿宋简体"/>
                <w:b w:val="0"/>
                <w:bCs/>
                <w:color w:val="000000"/>
                <w:sz w:val="28"/>
                <w:szCs w:val="28"/>
                <w:lang w:val="en-US" w:eastAsia="zh-CN"/>
              </w:rPr>
              <w:t>5</w:t>
            </w:r>
          </w:p>
        </w:tc>
        <w:tc>
          <w:tcPr>
            <w:tcW w:w="937" w:type="dxa"/>
            <w:tcBorders>
              <w:top w:val="single" w:color="auto" w:sz="4" w:space="0"/>
              <w:left w:val="single" w:color="auto" w:sz="4" w:space="0"/>
              <w:bottom w:val="single" w:color="auto" w:sz="4" w:space="0"/>
              <w:right w:val="single" w:color="auto" w:sz="4" w:space="0"/>
            </w:tcBorders>
            <w:vAlign w:val="center"/>
          </w:tcPr>
          <w:p w14:paraId="6EE5B194">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eastAsia" w:ascii="方正仿宋简体" w:hAnsi="方正仿宋简体" w:eastAsia="方正仿宋简体" w:cs="方正仿宋简体"/>
                <w:b w:val="0"/>
                <w:bCs/>
                <w:color w:val="000000"/>
                <w:sz w:val="28"/>
                <w:szCs w:val="28"/>
              </w:rPr>
            </w:pPr>
            <w:r>
              <w:rPr>
                <w:rFonts w:hint="eastAsia" w:ascii="方正仿宋简体" w:hAnsi="方正仿宋简体" w:eastAsia="方正仿宋简体" w:cs="方正仿宋简体"/>
                <w:b w:val="0"/>
                <w:bCs/>
                <w:color w:val="000000"/>
                <w:sz w:val="28"/>
                <w:szCs w:val="28"/>
              </w:rPr>
              <w:t>报价评审</w:t>
            </w:r>
          </w:p>
        </w:tc>
        <w:tc>
          <w:tcPr>
            <w:tcW w:w="905" w:type="dxa"/>
            <w:tcBorders>
              <w:top w:val="single" w:color="auto" w:sz="4" w:space="0"/>
              <w:left w:val="single" w:color="auto" w:sz="4" w:space="0"/>
              <w:bottom w:val="single" w:color="auto" w:sz="4" w:space="0"/>
              <w:right w:val="single" w:color="auto" w:sz="4" w:space="0"/>
            </w:tcBorders>
            <w:vAlign w:val="center"/>
          </w:tcPr>
          <w:p w14:paraId="4689D9EC">
            <w:pPr>
              <w:keepNext w:val="0"/>
              <w:keepLines w:val="0"/>
              <w:pageBreakBefore w:val="0"/>
              <w:widowControl w:val="0"/>
              <w:kinsoku/>
              <w:wordWrap/>
              <w:overflowPunct/>
              <w:topLinePunct w:val="0"/>
              <w:autoSpaceDE/>
              <w:autoSpaceDN/>
              <w:bidi w:val="0"/>
              <w:adjustRightInd/>
              <w:snapToGrid/>
              <w:spacing w:line="560" w:lineRule="exact"/>
              <w:ind w:left="0" w:leftChars="0"/>
              <w:jc w:val="center"/>
              <w:textAlignment w:val="auto"/>
              <w:rPr>
                <w:rFonts w:hint="default" w:ascii="方正仿宋简体" w:hAnsi="方正仿宋简体" w:eastAsia="方正仿宋简体" w:cs="方正仿宋简体"/>
                <w:b w:val="0"/>
                <w:bCs/>
                <w:color w:val="000000"/>
                <w:sz w:val="28"/>
                <w:szCs w:val="28"/>
                <w:lang w:val="en-US" w:eastAsia="zh-CN"/>
              </w:rPr>
            </w:pPr>
            <w:r>
              <w:rPr>
                <w:rFonts w:hint="eastAsia" w:ascii="方正仿宋简体" w:hAnsi="方正仿宋简体" w:eastAsia="方正仿宋简体" w:cs="方正仿宋简体"/>
                <w:b w:val="0"/>
                <w:bCs/>
                <w:color w:val="000000"/>
                <w:sz w:val="28"/>
                <w:szCs w:val="28"/>
                <w:lang w:val="en-US" w:eastAsia="zh-CN"/>
              </w:rPr>
              <w:t>25</w:t>
            </w:r>
          </w:p>
        </w:tc>
        <w:tc>
          <w:tcPr>
            <w:tcW w:w="6714" w:type="dxa"/>
            <w:tcBorders>
              <w:top w:val="single" w:color="auto" w:sz="4" w:space="0"/>
              <w:left w:val="single" w:color="auto" w:sz="4" w:space="0"/>
              <w:right w:val="single" w:color="auto" w:sz="4" w:space="0"/>
            </w:tcBorders>
            <w:vAlign w:val="center"/>
          </w:tcPr>
          <w:p w14:paraId="3732599C">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方正仿宋简体" w:hAnsi="方正仿宋简体" w:eastAsia="方正仿宋简体" w:cs="方正仿宋简体"/>
                <w:b w:val="0"/>
                <w:bCs/>
                <w:sz w:val="28"/>
                <w:szCs w:val="28"/>
              </w:rPr>
            </w:pPr>
            <w:r>
              <w:rPr>
                <w:rFonts w:hint="eastAsia" w:ascii="方正仿宋简体" w:hAnsi="方正仿宋简体" w:eastAsia="方正仿宋简体" w:cs="方正仿宋简体"/>
                <w:b w:val="0"/>
                <w:bCs/>
                <w:sz w:val="28"/>
                <w:szCs w:val="28"/>
              </w:rPr>
              <w:t>本项目最高限价7000元，所有有效报价不超过最高限价。采用低价优先法计算：满足全部采购需求的最低有效报价为评标基准价。报价得分=(评标基准价÷供应商报价)×25。</w:t>
            </w:r>
          </w:p>
          <w:p w14:paraId="516D04FB">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方正仿宋简体" w:hAnsi="方正仿宋简体" w:eastAsia="方正仿宋简体" w:cs="方正仿宋简体"/>
                <w:b w:val="0"/>
                <w:bCs/>
                <w:sz w:val="28"/>
                <w:szCs w:val="28"/>
              </w:rPr>
            </w:pPr>
            <w:r>
              <w:rPr>
                <w:rFonts w:hint="eastAsia" w:ascii="方正仿宋简体" w:hAnsi="方正仿宋简体" w:eastAsia="方正仿宋简体" w:cs="方正仿宋简体"/>
                <w:b w:val="0"/>
                <w:bCs/>
                <w:sz w:val="28"/>
                <w:szCs w:val="28"/>
              </w:rPr>
              <w:t>注：</w:t>
            </w:r>
            <w:r>
              <w:rPr>
                <w:rFonts w:hint="eastAsia" w:ascii="方正仿宋简体" w:hAnsi="方正仿宋简体" w:eastAsia="方正仿宋简体" w:cs="方正仿宋简体"/>
                <w:b w:val="0"/>
                <w:bCs/>
                <w:sz w:val="28"/>
                <w:szCs w:val="28"/>
                <w:lang w:val="en-US" w:eastAsia="zh-CN"/>
              </w:rPr>
              <w:t>项目报价明细表</w:t>
            </w:r>
            <w:r>
              <w:rPr>
                <w:rFonts w:hint="eastAsia" w:ascii="方正仿宋简体" w:hAnsi="方正仿宋简体" w:eastAsia="方正仿宋简体" w:cs="方正仿宋简体"/>
                <w:b w:val="0"/>
                <w:bCs/>
                <w:sz w:val="28"/>
                <w:szCs w:val="28"/>
              </w:rPr>
              <w:t>（加盖公章）。报价为项目包干总价，包含货物、运输、调试、税费等全部费用，报价超出最高限价按无效报名处理。得分保留2位小数。</w:t>
            </w:r>
          </w:p>
        </w:tc>
      </w:tr>
    </w:tbl>
    <w:p w14:paraId="110E47A7">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方正仿宋简体" w:hAnsi="方正仿宋简体" w:eastAsia="方正仿宋简体" w:cs="方正仿宋简体"/>
          <w:b w:val="0"/>
          <w:bCs/>
          <w:sz w:val="28"/>
          <w:szCs w:val="28"/>
        </w:rPr>
      </w:pP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简体">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7B73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4C352BA">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44C352BA">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1147189"/>
    <w:rsid w:val="006E32CA"/>
    <w:rsid w:val="57FD3876"/>
    <w:rsid w:val="611471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kern w:val="0"/>
      <w:sz w:val="20"/>
      <w:szCs w:val="20"/>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qFormat/>
    <w:uiPriority w:val="22"/>
    <w:rPr>
      <w:b/>
      <w:bCs/>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1457</Words>
  <Characters>1538</Characters>
  <Lines>0</Lines>
  <Paragraphs>0</Paragraphs>
  <TotalTime>3</TotalTime>
  <ScaleCrop>false</ScaleCrop>
  <LinksUpToDate>false</LinksUpToDate>
  <CharactersWithSpaces>1538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2026-10-27T01:45:00Z</dcterms:created>
  <dc:creator>511387875832</dc:creator>
  <cp:lastModifiedBy>511387875832</cp:lastModifiedBy>
  <cp:lastPrinted>2026-10-27T03:05:32Z</cp:lastPrinted>
  <dcterms:modified xsi:type="dcterms:W3CDTF">2026-10-27T03:05:36Z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5B14244EC5844F37B34D92A3249C8924_11</vt:lpwstr>
  </property>
  <property fmtid="{D5CDD505-2E9C-101B-9397-08002B2CF9AE}" pid="4" name="KSOTemplateDocerSaveRecord">
    <vt:lpwstr>eyJoZGlkIjoiOTkxYjkyNzJhNTQ0NzY0MjAwMWM3YmE1YmJiM2MzYTciLCJ1c2VySWQiOiI5OTA0MTY1In0=</vt:lpwstr>
  </property>
</Properties>
</file>