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871C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ascii="黑体" w:hAnsi="黑体" w:eastAsia="黑体"/>
          <w:lang w:val="en-US" w:eastAsia="zh-CN"/>
        </w:rPr>
      </w:pPr>
      <w:r>
        <w:rPr>
          <w:rFonts w:hint="eastAsia" w:ascii="黑体" w:hAnsi="黑体" w:eastAsia="黑体"/>
          <w:lang w:val="en-US" w:eastAsia="zh-CN"/>
        </w:rPr>
        <w:t>附件3</w:t>
      </w:r>
    </w:p>
    <w:p w14:paraId="5E749406">
      <w:pPr>
        <w:spacing w:line="70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关于《恩平市烟花爆竹零售经营权指标竞价</w:t>
      </w:r>
    </w:p>
    <w:p w14:paraId="74D6C364">
      <w:pPr>
        <w:spacing w:line="7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工作方案（征求意见稿）》的说明</w:t>
      </w:r>
    </w:p>
    <w:p w14:paraId="65253D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</w:pPr>
    </w:p>
    <w:p w14:paraId="2ACEAB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12"/>
        <w:textAlignment w:val="auto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一、</w:t>
      </w:r>
      <w:r>
        <w:rPr>
          <w:rFonts w:hint="eastAsia" w:ascii="黑体" w:hAnsi="黑体" w:eastAsia="黑体"/>
          <w:lang w:val="en-US" w:eastAsia="zh-CN"/>
        </w:rPr>
        <w:t>起草</w:t>
      </w:r>
      <w:r>
        <w:rPr>
          <w:rFonts w:hint="eastAsia" w:ascii="黑体" w:hAnsi="黑体" w:eastAsia="黑体"/>
        </w:rPr>
        <w:t>背景</w:t>
      </w:r>
    </w:p>
    <w:p w14:paraId="0B8679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12"/>
        <w:textAlignment w:val="auto"/>
      </w:pPr>
      <w:r>
        <w:rPr>
          <w:rFonts w:hint="eastAsia"/>
        </w:rPr>
        <w:t>当前，烟花爆竹行业正处于转型发展阶段，市场经营主体需求日益增长，但规划布点要求及现有经营许可方式，导致行业监管压力增加，市场活力不足，未能充分体现公平竞争的市场营商环境。近年来，</w:t>
      </w:r>
      <w:r>
        <w:rPr>
          <w:rFonts w:hint="eastAsia"/>
          <w:lang w:val="en-US" w:eastAsia="zh-CN"/>
        </w:rPr>
        <w:t>梅州市、</w:t>
      </w:r>
      <w:r>
        <w:rPr>
          <w:rFonts w:hint="eastAsia"/>
        </w:rPr>
        <w:t>中山市</w:t>
      </w:r>
      <w:bookmarkStart w:id="0" w:name="_GoBack"/>
      <w:bookmarkEnd w:id="0"/>
      <w:r>
        <w:rPr>
          <w:rFonts w:hint="eastAsia"/>
        </w:rPr>
        <w:t>等地区尝试探索了经营权市场化配置的新模式，并取得了较好的社会效果。</w:t>
      </w:r>
      <w:r>
        <w:rPr>
          <w:rFonts w:hint="eastAsia"/>
          <w:lang w:val="en-US" w:eastAsia="zh-CN"/>
        </w:rPr>
        <w:t>我市</w:t>
      </w:r>
      <w:r>
        <w:rPr>
          <w:rFonts w:hint="eastAsia"/>
        </w:rPr>
        <w:t>参考和借鉴其他地区的成功经验，适时推出《方案》，旨在探索</w:t>
      </w:r>
      <w:r>
        <w:rPr>
          <w:rFonts w:hint="eastAsia"/>
          <w:lang w:val="en-US" w:eastAsia="zh-CN"/>
        </w:rPr>
        <w:t>我市</w:t>
      </w:r>
      <w:r>
        <w:rPr>
          <w:rFonts w:hint="eastAsia"/>
        </w:rPr>
        <w:t>烟花爆竹零售单位经营权市场配置模式，激发经营主体的积极性和责任感，增强社会公众对烟花爆竹安全管理的认知和参与度，提高烟花爆竹零售行业的整体公共安全水平。</w:t>
      </w:r>
    </w:p>
    <w:p w14:paraId="34D89F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12"/>
        <w:textAlignment w:val="auto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二、政策依据</w:t>
      </w:r>
    </w:p>
    <w:p w14:paraId="75F9E9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12"/>
        <w:textAlignment w:val="auto"/>
      </w:pPr>
      <w:r>
        <w:rPr>
          <w:rFonts w:hint="eastAsia" w:ascii="宋体" w:hAnsi="宋体"/>
        </w:rPr>
        <w:t>《烟花爆竹安全管理条例》《烟花爆竹经营许可实施办法》《广东省安全生产监督管理局关于烟花爆竹经营许可的实施细则》</w:t>
      </w:r>
      <w:r>
        <w:rPr>
          <w:rFonts w:hint="eastAsia" w:ascii="宋体" w:hAnsi="宋体"/>
          <w:lang w:eastAsia="zh-CN"/>
        </w:rPr>
        <w:t>《</w:t>
      </w:r>
      <w:r>
        <w:rPr>
          <w:rFonts w:hint="eastAsia" w:ascii="宋体" w:hAnsi="宋体" w:eastAsia="仿宋_GB2312"/>
          <w:sz w:val="32"/>
          <w:szCs w:val="32"/>
          <w:highlight w:val="none"/>
        </w:rPr>
        <w:t>恩平市公共资源有偿使用管理办法（试行）</w:t>
      </w:r>
      <w:r>
        <w:rPr>
          <w:rFonts w:hint="eastAsia" w:ascii="宋体" w:hAnsi="宋体"/>
          <w:lang w:eastAsia="zh-CN"/>
        </w:rPr>
        <w:t>》</w:t>
      </w:r>
      <w:r>
        <w:rPr>
          <w:rFonts w:hint="eastAsia" w:ascii="宋体" w:hAnsi="宋体"/>
        </w:rPr>
        <w:t>等法律法规和文件精神。</w:t>
      </w:r>
    </w:p>
    <w:p w14:paraId="1D55DF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12"/>
        <w:textAlignment w:val="auto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三、内容说明</w:t>
      </w:r>
    </w:p>
    <w:p w14:paraId="4FE2B1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12"/>
        <w:textAlignment w:val="auto"/>
      </w:pPr>
      <w:r>
        <w:rPr>
          <w:rFonts w:hint="eastAsia"/>
        </w:rPr>
        <w:t>《方案》分为五个方面，分别为经营权指标基本情况、竞买人资格条件、公开竞价的程序和方式、退出机制和其他事项</w:t>
      </w:r>
      <w:r>
        <w:rPr>
          <w:rFonts w:hint="eastAsia"/>
          <w:lang w:eastAsia="zh-CN"/>
        </w:rPr>
        <w:t>。</w:t>
      </w:r>
      <w:r>
        <w:rPr>
          <w:rFonts w:hint="eastAsia"/>
          <w:lang w:val="en-US" w:eastAsia="zh-CN"/>
        </w:rPr>
        <w:t>通过</w:t>
      </w:r>
      <w:r>
        <w:rPr>
          <w:rFonts w:hint="eastAsia"/>
          <w:lang w:eastAsia="zh-CN"/>
        </w:rPr>
        <w:t>公开竞价的方式，按照“保障安全、统一规划、合理布局、总量控制、适度竞争”的原则开展</w:t>
      </w:r>
      <w:r>
        <w:rPr>
          <w:rFonts w:hint="default" w:ascii="宋体" w:hAnsi="宋体" w:eastAsia="仿宋_GB2312"/>
          <w:sz w:val="32"/>
          <w:szCs w:val="32"/>
          <w:highlight w:val="none"/>
          <w:lang w:val="en-US" w:eastAsia="zh-CN"/>
        </w:rPr>
        <w:t>经营权指标</w:t>
      </w:r>
      <w:r>
        <w:rPr>
          <w:rFonts w:hint="eastAsia" w:ascii="宋体" w:hAnsi="宋体"/>
          <w:sz w:val="32"/>
          <w:szCs w:val="32"/>
          <w:highlight w:val="none"/>
          <w:lang w:val="en-US" w:eastAsia="zh-CN"/>
        </w:rPr>
        <w:t>竞价分配</w:t>
      </w:r>
      <w:r>
        <w:rPr>
          <w:rFonts w:hint="eastAsia"/>
          <w:lang w:eastAsia="zh-CN"/>
        </w:rPr>
        <w:t>，价高者得</w:t>
      </w:r>
      <w:r>
        <w:rPr>
          <w:rFonts w:hint="eastAsia"/>
        </w:rPr>
        <w:t>。</w:t>
      </w:r>
    </w:p>
    <w:sectPr>
      <w:footerReference r:id="rId3" w:type="default"/>
      <w:footerReference r:id="rId4" w:type="even"/>
      <w:pgSz w:w="11906" w:h="16838"/>
      <w:pgMar w:top="1928" w:right="1418" w:bottom="1814" w:left="1588" w:header="1361" w:footer="1616" w:gutter="0"/>
      <w:cols w:space="425" w:num="1"/>
      <w:docGrid w:type="linesAndChars" w:linePitch="592" w:charSpace="-43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87A211">
    <w:pPr>
      <w:pStyle w:val="2"/>
      <w:framePr w:wrap="around" w:vAnchor="text" w:hAnchor="margin" w:xAlign="outside" w:y="1"/>
      <w:spacing w:before="360"/>
      <w:rPr>
        <w:rStyle w:val="7"/>
        <w:b/>
        <w:color w:val="FFFFFF"/>
        <w:sz w:val="28"/>
        <w:szCs w:val="28"/>
      </w:rPr>
    </w:pPr>
    <w:r>
      <w:rPr>
        <w:rStyle w:val="7"/>
        <w:rFonts w:hint="eastAsia"/>
        <w:b/>
        <w:color w:val="FFFFFF"/>
        <w:sz w:val="28"/>
        <w:szCs w:val="28"/>
      </w:rPr>
      <w:t>——</w:t>
    </w:r>
  </w:p>
  <w:p w14:paraId="33112DB3">
    <w:pPr>
      <w:pStyle w:val="2"/>
      <w:spacing w:before="360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4260A7">
    <w:pPr>
      <w:pStyle w:val="2"/>
      <w:framePr w:wrap="around" w:vAnchor="text" w:hAnchor="margin" w:xAlign="outside" w:y="1"/>
      <w:spacing w:before="360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 w14:paraId="5EFF2166">
    <w:pPr>
      <w:pStyle w:val="2"/>
      <w:spacing w:before="360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HorizontalSpacing w:val="159"/>
  <w:drawingGridVerticalSpacing w:val="29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40501A"/>
    <w:rsid w:val="000E01CE"/>
    <w:rsid w:val="000E0773"/>
    <w:rsid w:val="001400ED"/>
    <w:rsid w:val="00170FB6"/>
    <w:rsid w:val="001D5415"/>
    <w:rsid w:val="00227045"/>
    <w:rsid w:val="00267224"/>
    <w:rsid w:val="00362F65"/>
    <w:rsid w:val="003C6A28"/>
    <w:rsid w:val="003F0BCF"/>
    <w:rsid w:val="0040501A"/>
    <w:rsid w:val="0042462F"/>
    <w:rsid w:val="004C1B8A"/>
    <w:rsid w:val="004E599D"/>
    <w:rsid w:val="005E46FD"/>
    <w:rsid w:val="00600E52"/>
    <w:rsid w:val="00641B32"/>
    <w:rsid w:val="00695772"/>
    <w:rsid w:val="006E17E2"/>
    <w:rsid w:val="006F5697"/>
    <w:rsid w:val="007000FF"/>
    <w:rsid w:val="00777A9A"/>
    <w:rsid w:val="00785C13"/>
    <w:rsid w:val="007A31FC"/>
    <w:rsid w:val="007C19A7"/>
    <w:rsid w:val="007C44C3"/>
    <w:rsid w:val="00800E98"/>
    <w:rsid w:val="008D0B86"/>
    <w:rsid w:val="008D79DA"/>
    <w:rsid w:val="008F6799"/>
    <w:rsid w:val="0095034A"/>
    <w:rsid w:val="00953C7A"/>
    <w:rsid w:val="009D0951"/>
    <w:rsid w:val="00A14B24"/>
    <w:rsid w:val="00A237C2"/>
    <w:rsid w:val="00B71D65"/>
    <w:rsid w:val="00BC4064"/>
    <w:rsid w:val="00BE6E77"/>
    <w:rsid w:val="00C11777"/>
    <w:rsid w:val="00C31D77"/>
    <w:rsid w:val="00C449D5"/>
    <w:rsid w:val="00C904ED"/>
    <w:rsid w:val="00CA0488"/>
    <w:rsid w:val="00CA0871"/>
    <w:rsid w:val="00CE063E"/>
    <w:rsid w:val="00DC1DBC"/>
    <w:rsid w:val="00E32516"/>
    <w:rsid w:val="00EA6BF2"/>
    <w:rsid w:val="00EC73DC"/>
    <w:rsid w:val="00F2339E"/>
    <w:rsid w:val="00F64E75"/>
    <w:rsid w:val="00F7597A"/>
    <w:rsid w:val="00FC218F"/>
    <w:rsid w:val="0CE71BA1"/>
    <w:rsid w:val="28D8435B"/>
    <w:rsid w:val="52883428"/>
    <w:rsid w:val="57EB15DB"/>
    <w:rsid w:val="59DB6CE0"/>
    <w:rsid w:val="5EEA1138"/>
    <w:rsid w:val="60BD216C"/>
    <w:rsid w:val="700A7715"/>
    <w:rsid w:val="7C1B7936"/>
    <w:rsid w:val="7EB73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  <w:bCs/>
    </w:rPr>
  </w:style>
  <w:style w:type="character" w:styleId="7">
    <w:name w:val="page number"/>
    <w:basedOn w:val="5"/>
    <w:qFormat/>
    <w:uiPriority w:val="0"/>
  </w:style>
  <w:style w:type="character" w:customStyle="1" w:styleId="8">
    <w:name w:val="页脚 Char"/>
    <w:basedOn w:val="5"/>
    <w:link w:val="2"/>
    <w:qFormat/>
    <w:uiPriority w:val="99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494</Words>
  <Characters>494</Characters>
  <Lines>3</Lines>
  <Paragraphs>1</Paragraphs>
  <TotalTime>0</TotalTime>
  <ScaleCrop>false</ScaleCrop>
  <LinksUpToDate>false</LinksUpToDate>
  <CharactersWithSpaces>494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2024-01-24T14:19:00Z</dcterms:created>
  <dc:creator>陈观侨</dc:creator>
  <cp:lastModifiedBy>风云再起</cp:lastModifiedBy>
  <dcterms:modified xsi:type="dcterms:W3CDTF">2026-10-26T07:02:18Z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eyJoZGlkIjoiYTY3N2I3YjMyZjQ4NGE4ZTMwYzk5NmFjODVjOWNiM2YiLCJ1c2VySWQiOiI2NTQyNzQ4NjkifQ==</vt:lpwstr>
  </property>
  <property fmtid="{D5CDD505-2E9C-101B-9397-08002B2CF9AE}" pid="3" name="KSOProductBuildVer">
    <vt:lpwstr>2052-12.1.0.29161</vt:lpwstr>
  </property>
  <property fmtid="{D5CDD505-2E9C-101B-9397-08002B2CF9AE}" pid="4" name="ICV">
    <vt:lpwstr>4FA7371FA512461C92EC0C7031989CCC_12</vt:lpwstr>
  </property>
</Properties>
</file>