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70632">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黑体" w:hAnsi="黑体" w:eastAsia="黑体" w:cs="黑体"/>
          <w:bCs/>
          <w:kern w:val="0"/>
          <w:sz w:val="32"/>
          <w:szCs w:val="32"/>
          <w:highlight w:val="none"/>
          <w:lang w:val="en-US" w:eastAsia="zh-CN"/>
        </w:rPr>
      </w:pPr>
      <w:r>
        <w:rPr>
          <w:rFonts w:hint="eastAsia" w:ascii="黑体" w:hAnsi="黑体" w:eastAsia="黑体" w:cs="黑体"/>
          <w:bCs/>
          <w:kern w:val="0"/>
          <w:sz w:val="32"/>
          <w:szCs w:val="32"/>
          <w:highlight w:val="none"/>
          <w:lang w:val="en-US" w:eastAsia="zh-CN"/>
        </w:rPr>
        <w:t>附件1</w:t>
      </w:r>
    </w:p>
    <w:p w14:paraId="637999FF">
      <w:pPr>
        <w:pStyle w:val="52"/>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宋体" w:hAnsi="宋体" w:eastAsia="方正小标宋简体" w:cs="Times New Roman"/>
          <w:bCs/>
          <w:kern w:val="0"/>
          <w:sz w:val="44"/>
          <w:szCs w:val="44"/>
          <w:highlight w:val="none"/>
          <w:lang w:val="en-US" w:eastAsia="zh-CN" w:bidi="ar-SA"/>
        </w:rPr>
      </w:pPr>
      <w:r>
        <w:rPr>
          <w:rFonts w:hint="eastAsia" w:ascii="宋体" w:hAnsi="宋体" w:eastAsia="方正小标宋简体" w:cs="Times New Roman"/>
          <w:bCs/>
          <w:kern w:val="0"/>
          <w:sz w:val="44"/>
          <w:szCs w:val="44"/>
          <w:highlight w:val="none"/>
          <w:lang w:val="en-US" w:eastAsia="zh-CN" w:bidi="ar-SA"/>
        </w:rPr>
        <w:t>恩平市烟花爆竹零售经营权指标竞价工作方案（征求意见稿）</w:t>
      </w:r>
    </w:p>
    <w:p w14:paraId="1F349EA5">
      <w:pPr>
        <w:pStyle w:val="52"/>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eastAsia" w:ascii="宋体" w:hAnsi="宋体" w:eastAsia="仿宋_GB2312" w:cs="仿宋"/>
          <w:sz w:val="32"/>
          <w:szCs w:val="32"/>
          <w:highlight w:val="none"/>
          <w:lang w:eastAsia="zh-CN"/>
        </w:rPr>
      </w:pPr>
    </w:p>
    <w:p w14:paraId="2B7B2DB8">
      <w:pPr>
        <w:keepNext w:val="0"/>
        <w:keepLines w:val="0"/>
        <w:pageBreakBefore w:val="0"/>
        <w:widowControl w:val="0"/>
        <w:kinsoku/>
        <w:wordWrap/>
        <w:overflowPunct/>
        <w:topLinePunct w:val="0"/>
        <w:autoSpaceDE/>
        <w:autoSpaceDN/>
        <w:bidi w:val="0"/>
        <w:adjustRightInd/>
        <w:snapToGrid/>
        <w:spacing w:line="540" w:lineRule="exact"/>
        <w:ind w:firstLine="636" w:firstLineChars="200"/>
        <w:textAlignment w:val="auto"/>
        <w:rPr>
          <w:rFonts w:ascii="宋体" w:hAnsi="宋体" w:eastAsia="仿宋_GB2312"/>
          <w:sz w:val="32"/>
          <w:szCs w:val="32"/>
          <w:highlight w:val="none"/>
        </w:rPr>
      </w:pPr>
      <w:r>
        <w:rPr>
          <w:rFonts w:hint="eastAsia" w:ascii="宋体" w:hAnsi="宋体" w:eastAsia="仿宋_GB2312"/>
          <w:sz w:val="32"/>
          <w:szCs w:val="32"/>
          <w:highlight w:val="none"/>
        </w:rPr>
        <w:t>为进一步加强我市烟花爆竹经营管理，根据《烟花爆竹安全管理条例》《烟花爆竹经营许可实施办法》（</w:t>
      </w:r>
      <w:r>
        <w:rPr>
          <w:rFonts w:hint="eastAsia" w:ascii="宋体" w:hAnsi="宋体" w:eastAsia="仿宋_GB2312"/>
          <w:sz w:val="32"/>
          <w:szCs w:val="32"/>
          <w:highlight w:val="none"/>
          <w:lang w:val="en-US" w:eastAsia="zh-CN"/>
        </w:rPr>
        <w:t>原</w:t>
      </w:r>
      <w:r>
        <w:rPr>
          <w:rFonts w:hint="eastAsia" w:ascii="宋体" w:hAnsi="宋体" w:eastAsia="仿宋_GB2312"/>
          <w:sz w:val="32"/>
          <w:szCs w:val="32"/>
          <w:highlight w:val="none"/>
        </w:rPr>
        <w:t>国家安全监管总局令第65号）、《财政部 发展改革委 住房城乡建设部关于印发〈市政公共资源有偿使用收入管理办法〉的通知》（财税〔2016〕116号）和《关于印发〈恩平市公共资源有偿使用管理办法（试行）〉的通知》（恩府办〔2024〕77号）等法规和文件要求，制定本方案。</w:t>
      </w:r>
    </w:p>
    <w:p w14:paraId="7F08CE26">
      <w:pPr>
        <w:keepNext w:val="0"/>
        <w:keepLines w:val="0"/>
        <w:pageBreakBefore w:val="0"/>
        <w:widowControl w:val="0"/>
        <w:kinsoku/>
        <w:wordWrap/>
        <w:overflowPunct/>
        <w:topLinePunct w:val="0"/>
        <w:autoSpaceDE/>
        <w:autoSpaceDN/>
        <w:bidi w:val="0"/>
        <w:adjustRightInd/>
        <w:snapToGrid/>
        <w:spacing w:line="540" w:lineRule="exact"/>
        <w:ind w:firstLine="636" w:firstLineChars="200"/>
        <w:textAlignment w:val="auto"/>
        <w:rPr>
          <w:rFonts w:ascii="宋体" w:hAnsi="宋体" w:eastAsia="黑体"/>
          <w:sz w:val="32"/>
          <w:szCs w:val="32"/>
          <w:highlight w:val="none"/>
        </w:rPr>
      </w:pPr>
      <w:r>
        <w:rPr>
          <w:rFonts w:ascii="宋体" w:hAnsi="宋体" w:eastAsia="黑体"/>
          <w:sz w:val="32"/>
          <w:szCs w:val="32"/>
          <w:highlight w:val="none"/>
        </w:rPr>
        <w:t>一、</w:t>
      </w:r>
      <w:r>
        <w:rPr>
          <w:rFonts w:hint="eastAsia" w:ascii="宋体" w:hAnsi="宋体" w:eastAsia="黑体"/>
          <w:sz w:val="32"/>
          <w:szCs w:val="32"/>
          <w:highlight w:val="none"/>
        </w:rPr>
        <w:t>经营权指标基本情况</w:t>
      </w:r>
    </w:p>
    <w:p w14:paraId="07858E95">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（一）数量</w:t>
      </w:r>
    </w:p>
    <w:p w14:paraId="2A3BF80D">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恩平</w:t>
      </w:r>
      <w:r>
        <w:rPr>
          <w:rFonts w:hint="default" w:ascii="宋体" w:hAnsi="宋体" w:eastAsia="仿宋_GB2312"/>
          <w:sz w:val="32"/>
          <w:szCs w:val="32"/>
          <w:highlight w:val="none"/>
          <w:lang w:val="en-US" w:eastAsia="zh-CN"/>
        </w:rPr>
        <w:t>市</w:t>
      </w:r>
      <w:r>
        <w:rPr>
          <w:rFonts w:hint="eastAsia" w:ascii="宋体" w:hAnsi="宋体" w:eastAsia="仿宋_GB2312"/>
          <w:sz w:val="32"/>
          <w:szCs w:val="32"/>
          <w:highlight w:val="none"/>
          <w:lang w:val="en-US" w:eastAsia="zh-CN"/>
        </w:rPr>
        <w:t>33</w:t>
      </w:r>
      <w:r>
        <w:rPr>
          <w:rFonts w:hint="default" w:ascii="宋体" w:hAnsi="宋体" w:eastAsia="仿宋_GB2312"/>
          <w:sz w:val="32"/>
          <w:szCs w:val="32"/>
          <w:highlight w:val="none"/>
          <w:lang w:val="en-US" w:eastAsia="zh-CN"/>
        </w:rPr>
        <w:t>个烟花爆竹零售单元的经营权指标（具体分布见附件）。</w:t>
      </w:r>
    </w:p>
    <w:p w14:paraId="206C6CDB">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（二）取得方式</w:t>
      </w:r>
    </w:p>
    <w:p w14:paraId="6072FECA">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default" w:ascii="宋体" w:hAnsi="宋体" w:eastAsia="仿宋_GB2312"/>
          <w:sz w:val="32"/>
          <w:szCs w:val="32"/>
          <w:highlight w:val="none"/>
          <w:lang w:val="en-US" w:eastAsia="zh-CN"/>
        </w:rPr>
        <w:t>通过公开竞价的方式，按照“保障安全、统一规划、合理布局、总量控制、适度竞争”的原则开展，在此基础上，价高者得。</w:t>
      </w:r>
    </w:p>
    <w:p w14:paraId="05DFDB56">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（三）经营权指标期限</w:t>
      </w:r>
    </w:p>
    <w:p w14:paraId="18F3BCA7">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首次竞价按年份，</w:t>
      </w:r>
      <w:r>
        <w:rPr>
          <w:rFonts w:hint="default" w:ascii="宋体" w:hAnsi="宋体" w:eastAsia="仿宋_GB2312"/>
          <w:sz w:val="32"/>
          <w:szCs w:val="32"/>
          <w:highlight w:val="none"/>
          <w:lang w:val="en-US" w:eastAsia="zh-CN"/>
        </w:rPr>
        <w:t>经营权指标期限</w:t>
      </w:r>
      <w:r>
        <w:rPr>
          <w:rFonts w:hint="eastAsia" w:ascii="宋体" w:hAnsi="宋体" w:eastAsia="仿宋_GB2312"/>
          <w:sz w:val="32"/>
          <w:szCs w:val="32"/>
          <w:highlight w:val="none"/>
          <w:lang w:val="en-US" w:eastAsia="zh-CN"/>
        </w:rPr>
        <w:t>分别</w:t>
      </w:r>
      <w:r>
        <w:rPr>
          <w:rFonts w:hint="default" w:ascii="宋体" w:hAnsi="宋体" w:eastAsia="仿宋_GB2312"/>
          <w:sz w:val="32"/>
          <w:szCs w:val="32"/>
          <w:highlight w:val="none"/>
          <w:lang w:val="en-US" w:eastAsia="zh-CN"/>
        </w:rPr>
        <w:t>实行</w:t>
      </w:r>
      <w:r>
        <w:rPr>
          <w:rFonts w:hint="eastAsia" w:ascii="宋体" w:hAnsi="宋体" w:eastAsia="仿宋_GB2312"/>
          <w:sz w:val="32"/>
          <w:szCs w:val="32"/>
          <w:highlight w:val="none"/>
          <w:lang w:val="en-US" w:eastAsia="zh-CN"/>
        </w:rPr>
        <w:t>3</w:t>
      </w:r>
      <w:r>
        <w:rPr>
          <w:rFonts w:hint="default" w:ascii="宋体" w:hAnsi="宋体" w:eastAsia="仿宋_GB2312"/>
          <w:sz w:val="32"/>
          <w:szCs w:val="32"/>
          <w:highlight w:val="none"/>
          <w:lang w:val="en-US" w:eastAsia="zh-CN"/>
        </w:rPr>
        <w:t>年制</w:t>
      </w:r>
      <w:r>
        <w:rPr>
          <w:rFonts w:hint="eastAsia" w:ascii="宋体" w:hAnsi="宋体" w:eastAsia="仿宋_GB2312"/>
          <w:sz w:val="32"/>
          <w:szCs w:val="32"/>
          <w:highlight w:val="none"/>
          <w:lang w:val="en-US" w:eastAsia="zh-CN"/>
        </w:rPr>
        <w:t>（17个）、2年</w:t>
      </w:r>
      <w:r>
        <w:rPr>
          <w:rFonts w:hint="default" w:ascii="宋体" w:hAnsi="宋体" w:eastAsia="仿宋_GB2312"/>
          <w:sz w:val="32"/>
          <w:szCs w:val="32"/>
          <w:highlight w:val="none"/>
          <w:lang w:val="en-US" w:eastAsia="zh-CN"/>
        </w:rPr>
        <w:t>制</w:t>
      </w:r>
      <w:r>
        <w:rPr>
          <w:rFonts w:hint="eastAsia" w:ascii="宋体" w:hAnsi="宋体" w:eastAsia="仿宋_GB2312"/>
          <w:sz w:val="32"/>
          <w:szCs w:val="32"/>
          <w:highlight w:val="none"/>
          <w:lang w:val="en-US" w:eastAsia="zh-CN"/>
        </w:rPr>
        <w:t>（13个）、1年</w:t>
      </w:r>
      <w:r>
        <w:rPr>
          <w:rFonts w:hint="default" w:ascii="宋体" w:hAnsi="宋体" w:eastAsia="仿宋_GB2312"/>
          <w:sz w:val="32"/>
          <w:szCs w:val="32"/>
          <w:highlight w:val="none"/>
          <w:lang w:val="en-US" w:eastAsia="zh-CN"/>
        </w:rPr>
        <w:t>制</w:t>
      </w:r>
      <w:r>
        <w:rPr>
          <w:rFonts w:hint="eastAsia" w:ascii="宋体" w:hAnsi="宋体" w:eastAsia="仿宋_GB2312"/>
          <w:sz w:val="32"/>
          <w:szCs w:val="32"/>
          <w:highlight w:val="none"/>
          <w:lang w:val="en-US" w:eastAsia="zh-CN"/>
        </w:rPr>
        <w:t>（3个）（即统一截至2029年12月1日）</w:t>
      </w:r>
      <w:r>
        <w:rPr>
          <w:rFonts w:hint="default" w:ascii="宋体" w:hAnsi="宋体" w:eastAsia="仿宋_GB2312"/>
          <w:sz w:val="32"/>
          <w:szCs w:val="32"/>
          <w:highlight w:val="none"/>
          <w:lang w:val="en-US" w:eastAsia="zh-CN"/>
        </w:rPr>
        <w:t>，</w:t>
      </w:r>
      <w:r>
        <w:rPr>
          <w:rFonts w:hint="eastAsia" w:ascii="宋体" w:hAnsi="宋体" w:eastAsia="仿宋_GB2312"/>
          <w:sz w:val="32"/>
          <w:szCs w:val="32"/>
          <w:highlight w:val="none"/>
          <w:lang w:val="en-US" w:eastAsia="zh-CN"/>
        </w:rPr>
        <w:t>此后实行3年制。期限</w:t>
      </w:r>
      <w:r>
        <w:rPr>
          <w:rFonts w:hint="default" w:ascii="宋体" w:hAnsi="宋体" w:eastAsia="仿宋_GB2312"/>
          <w:sz w:val="32"/>
          <w:szCs w:val="32"/>
          <w:highlight w:val="none"/>
          <w:lang w:val="en-US" w:eastAsia="zh-CN"/>
        </w:rPr>
        <w:t>内竞得人（单位）可在对应</w:t>
      </w:r>
      <w:r>
        <w:rPr>
          <w:rFonts w:hint="eastAsia" w:ascii="宋体" w:hAnsi="宋体" w:eastAsia="仿宋_GB2312"/>
          <w:sz w:val="32"/>
          <w:szCs w:val="32"/>
          <w:highlight w:val="none"/>
          <w:lang w:val="en-US" w:eastAsia="zh-CN"/>
        </w:rPr>
        <w:t>规划</w:t>
      </w:r>
      <w:r>
        <w:rPr>
          <w:rFonts w:hint="default" w:ascii="宋体" w:hAnsi="宋体" w:eastAsia="仿宋_GB2312"/>
          <w:sz w:val="32"/>
          <w:szCs w:val="32"/>
          <w:highlight w:val="none"/>
          <w:lang w:val="en-US" w:eastAsia="zh-CN"/>
        </w:rPr>
        <w:t>单元内选择合规地点开设烟花爆竹零售店。</w:t>
      </w:r>
    </w:p>
    <w:p w14:paraId="6999620D">
      <w:pPr>
        <w:keepNext w:val="0"/>
        <w:keepLines w:val="0"/>
        <w:pageBreakBefore w:val="0"/>
        <w:widowControl w:val="0"/>
        <w:kinsoku/>
        <w:wordWrap/>
        <w:overflowPunct/>
        <w:topLinePunct w:val="0"/>
        <w:autoSpaceDE/>
        <w:autoSpaceDN/>
        <w:bidi w:val="0"/>
        <w:adjustRightInd/>
        <w:snapToGrid/>
        <w:spacing w:line="540" w:lineRule="exact"/>
        <w:ind w:firstLine="636" w:firstLineChars="200"/>
        <w:textAlignment w:val="auto"/>
        <w:rPr>
          <w:rFonts w:hint="default" w:ascii="宋体" w:hAnsi="宋体" w:eastAsia="黑体" w:cs="Times New Roman"/>
          <w:sz w:val="32"/>
          <w:szCs w:val="32"/>
          <w:highlight w:val="none"/>
          <w:lang w:val="en-US" w:eastAsia="zh-CN"/>
        </w:rPr>
      </w:pPr>
      <w:r>
        <w:rPr>
          <w:rFonts w:hint="eastAsia" w:ascii="宋体" w:hAnsi="宋体" w:eastAsia="黑体" w:cs="Times New Roman"/>
          <w:sz w:val="32"/>
          <w:szCs w:val="32"/>
          <w:highlight w:val="none"/>
          <w:lang w:val="en-US" w:eastAsia="zh-CN"/>
        </w:rPr>
        <w:t>二、竞买人</w:t>
      </w:r>
      <w:r>
        <w:rPr>
          <w:rFonts w:hint="default" w:ascii="宋体" w:hAnsi="宋体" w:eastAsia="黑体" w:cs="Times New Roman"/>
          <w:sz w:val="32"/>
          <w:szCs w:val="32"/>
          <w:highlight w:val="none"/>
          <w:lang w:val="en-US" w:eastAsia="zh-CN"/>
        </w:rPr>
        <w:t>资格条件</w:t>
      </w:r>
    </w:p>
    <w:p w14:paraId="444F99AC">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w:t>
      </w:r>
      <w:r>
        <w:rPr>
          <w:rFonts w:hint="default" w:ascii="楷体_GB2312" w:hAnsi="楷体_GB2312" w:eastAsia="楷体_GB2312" w:cs="楷体_GB2312"/>
          <w:sz w:val="32"/>
          <w:szCs w:val="32"/>
          <w:highlight w:val="none"/>
          <w:lang w:val="en-US" w:eastAsia="zh-CN"/>
        </w:rPr>
        <w:t>参与竞价的竞买人须同时满足以下条件：</w:t>
      </w:r>
    </w:p>
    <w:p w14:paraId="1D13A4DC">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1.</w:t>
      </w:r>
      <w:r>
        <w:rPr>
          <w:rFonts w:hint="default" w:ascii="宋体" w:hAnsi="宋体" w:eastAsia="仿宋_GB2312"/>
          <w:sz w:val="32"/>
          <w:szCs w:val="32"/>
          <w:highlight w:val="none"/>
          <w:lang w:val="en-US" w:eastAsia="zh-CN"/>
        </w:rPr>
        <w:t>中华人民共和国境内的法人、非法人组织、自然人</w:t>
      </w:r>
      <w:r>
        <w:rPr>
          <w:rFonts w:hint="eastAsia" w:ascii="宋体" w:hAnsi="宋体" w:eastAsia="仿宋_GB2312"/>
          <w:sz w:val="32"/>
          <w:szCs w:val="32"/>
          <w:highlight w:val="none"/>
          <w:lang w:val="en-US" w:eastAsia="zh-CN"/>
        </w:rPr>
        <w:t>（</w:t>
      </w:r>
      <w:r>
        <w:rPr>
          <w:rFonts w:hint="default" w:ascii="宋体" w:hAnsi="宋体" w:eastAsia="仿宋_GB2312"/>
          <w:sz w:val="32"/>
          <w:szCs w:val="32"/>
          <w:highlight w:val="none"/>
          <w:lang w:val="en-US" w:eastAsia="zh-CN"/>
        </w:rPr>
        <w:t>个体工商户</w:t>
      </w:r>
      <w:r>
        <w:rPr>
          <w:rFonts w:hint="eastAsia" w:ascii="宋体" w:hAnsi="宋体" w:eastAsia="仿宋_GB2312"/>
          <w:sz w:val="32"/>
          <w:szCs w:val="32"/>
          <w:highlight w:val="none"/>
          <w:lang w:val="en-US" w:eastAsia="zh-CN"/>
        </w:rPr>
        <w:t>）</w:t>
      </w:r>
      <w:r>
        <w:rPr>
          <w:rFonts w:hint="default" w:ascii="宋体" w:hAnsi="宋体" w:eastAsia="仿宋_GB2312"/>
          <w:sz w:val="32"/>
          <w:szCs w:val="32"/>
          <w:highlight w:val="none"/>
          <w:lang w:val="en-US" w:eastAsia="zh-CN"/>
        </w:rPr>
        <w:t>均可参与竞价。</w:t>
      </w:r>
    </w:p>
    <w:p w14:paraId="0FCDF95C">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2.</w:t>
      </w:r>
      <w:r>
        <w:rPr>
          <w:rFonts w:hint="default" w:ascii="宋体" w:hAnsi="宋体" w:eastAsia="仿宋_GB2312"/>
          <w:sz w:val="32"/>
          <w:szCs w:val="32"/>
          <w:highlight w:val="none"/>
          <w:lang w:val="en-US" w:eastAsia="zh-CN"/>
        </w:rPr>
        <w:t>竞价人（单位）需持有有效的安全生产知识和管理能力考核合格证（行业类别：烟花爆竹经营单位，人员类型：主要负责人）。竞价人（单位）为法人或非法人组织的，持证人需为法定代表人</w:t>
      </w:r>
      <w:r>
        <w:rPr>
          <w:rFonts w:hint="eastAsia" w:ascii="宋体" w:hAnsi="宋体" w:eastAsia="仿宋_GB2312"/>
          <w:sz w:val="32"/>
          <w:szCs w:val="32"/>
          <w:highlight w:val="none"/>
          <w:lang w:val="en-US" w:eastAsia="zh-CN"/>
        </w:rPr>
        <w:t>、厂长、总经理等主要负责人其中之一（持证情况可在“特种作业操作证及安全生产知识和管理能力考核合格信息查询平台”https://cx.mem.gov.cn/查询）</w:t>
      </w:r>
      <w:r>
        <w:rPr>
          <w:rFonts w:hint="default" w:ascii="宋体" w:hAnsi="宋体" w:eastAsia="仿宋_GB2312"/>
          <w:sz w:val="32"/>
          <w:szCs w:val="32"/>
          <w:highlight w:val="none"/>
          <w:lang w:val="en-US" w:eastAsia="zh-CN"/>
        </w:rPr>
        <w:t>。</w:t>
      </w:r>
    </w:p>
    <w:p w14:paraId="7024713A">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3.</w:t>
      </w:r>
      <w:r>
        <w:rPr>
          <w:rFonts w:hint="default" w:ascii="宋体" w:hAnsi="宋体" w:eastAsia="仿宋_GB2312"/>
          <w:sz w:val="32"/>
          <w:szCs w:val="32"/>
          <w:highlight w:val="none"/>
          <w:lang w:val="en-US" w:eastAsia="zh-CN"/>
        </w:rPr>
        <w:t>竞价单位为法人、非法人组织、个体工商户的，其法定代表人、</w:t>
      </w:r>
      <w:r>
        <w:rPr>
          <w:rFonts w:hint="eastAsia" w:ascii="宋体" w:hAnsi="宋体" w:eastAsia="仿宋_GB2312"/>
          <w:sz w:val="32"/>
          <w:szCs w:val="32"/>
          <w:highlight w:val="none"/>
          <w:lang w:val="en-US" w:eastAsia="zh-CN"/>
        </w:rPr>
        <w:t>主要负责人</w:t>
      </w:r>
      <w:r>
        <w:rPr>
          <w:rFonts w:hint="default" w:ascii="宋体" w:hAnsi="宋体" w:eastAsia="仿宋_GB2312"/>
          <w:sz w:val="32"/>
          <w:szCs w:val="32"/>
          <w:highlight w:val="none"/>
          <w:lang w:val="en-US" w:eastAsia="zh-CN"/>
        </w:rPr>
        <w:t>不得以自然人名义同时参与竞价。</w:t>
      </w:r>
    </w:p>
    <w:p w14:paraId="55104D90">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4.</w:t>
      </w:r>
      <w:r>
        <w:rPr>
          <w:rFonts w:hint="default" w:ascii="宋体" w:hAnsi="宋体" w:eastAsia="仿宋_GB2312"/>
          <w:sz w:val="32"/>
          <w:szCs w:val="32"/>
          <w:highlight w:val="none"/>
          <w:lang w:val="en-US" w:eastAsia="zh-CN"/>
        </w:rPr>
        <w:t>同一竞价人（单位）可参与多个点位经营权指标的竞价，但最多只能竞价成功一个点位的经营权指标，且一旦竞价成功，将不再参与其他点位的经营权指标的竞价。法定代表人、</w:t>
      </w:r>
      <w:r>
        <w:rPr>
          <w:rFonts w:hint="eastAsia" w:ascii="宋体" w:hAnsi="宋体" w:eastAsia="仿宋_GB2312"/>
          <w:sz w:val="32"/>
          <w:szCs w:val="32"/>
          <w:highlight w:val="none"/>
          <w:lang w:val="en-US" w:eastAsia="zh-CN"/>
        </w:rPr>
        <w:t>主要负责人</w:t>
      </w:r>
      <w:r>
        <w:rPr>
          <w:rFonts w:hint="default" w:ascii="宋体" w:hAnsi="宋体" w:eastAsia="仿宋_GB2312"/>
          <w:sz w:val="32"/>
          <w:szCs w:val="32"/>
          <w:highlight w:val="none"/>
          <w:lang w:val="en-US" w:eastAsia="zh-CN"/>
        </w:rPr>
        <w:t>为同一人或者存在控股、</w:t>
      </w:r>
      <w:r>
        <w:rPr>
          <w:rFonts w:hint="eastAsia" w:ascii="宋体" w:hAnsi="宋体" w:eastAsia="仿宋_GB2312"/>
          <w:sz w:val="32"/>
          <w:szCs w:val="32"/>
          <w:highlight w:val="none"/>
          <w:lang w:val="en-US" w:eastAsia="zh-CN"/>
        </w:rPr>
        <w:t>合伙、</w:t>
      </w:r>
      <w:r>
        <w:rPr>
          <w:rFonts w:hint="default" w:ascii="宋体" w:hAnsi="宋体" w:eastAsia="仿宋_GB2312"/>
          <w:sz w:val="32"/>
          <w:szCs w:val="32"/>
          <w:highlight w:val="none"/>
          <w:lang w:val="en-US" w:eastAsia="zh-CN"/>
        </w:rPr>
        <w:t>管理关系的不同单位，不得同时参与同一点位经营权指标的竞价</w:t>
      </w:r>
      <w:r>
        <w:rPr>
          <w:rFonts w:hint="eastAsia" w:ascii="宋体" w:hAnsi="宋体" w:eastAsia="仿宋_GB2312"/>
          <w:sz w:val="32"/>
          <w:szCs w:val="32"/>
          <w:highlight w:val="none"/>
          <w:lang w:val="en-US" w:eastAsia="zh-CN"/>
        </w:rPr>
        <w:t>（即“一人、一证、一点”）</w:t>
      </w:r>
      <w:r>
        <w:rPr>
          <w:rFonts w:hint="default" w:ascii="宋体" w:hAnsi="宋体" w:eastAsia="仿宋_GB2312"/>
          <w:sz w:val="32"/>
          <w:szCs w:val="32"/>
          <w:highlight w:val="none"/>
          <w:lang w:val="en-US" w:eastAsia="zh-CN"/>
        </w:rPr>
        <w:t>。</w:t>
      </w:r>
    </w:p>
    <w:p w14:paraId="42FC126A">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5.</w:t>
      </w:r>
      <w:r>
        <w:rPr>
          <w:rFonts w:hint="default" w:ascii="宋体" w:hAnsi="宋体" w:eastAsia="仿宋_GB2312"/>
          <w:sz w:val="32"/>
          <w:szCs w:val="32"/>
          <w:highlight w:val="none"/>
          <w:lang w:val="en-US" w:eastAsia="zh-CN"/>
        </w:rPr>
        <w:t>竞价人（单位）及其法定代表人、主要负责人在202</w:t>
      </w:r>
      <w:r>
        <w:rPr>
          <w:rFonts w:hint="eastAsia" w:ascii="宋体" w:hAnsi="宋体" w:eastAsia="仿宋_GB2312"/>
          <w:sz w:val="32"/>
          <w:szCs w:val="32"/>
          <w:highlight w:val="none"/>
          <w:lang w:val="en-US" w:eastAsia="zh-CN"/>
        </w:rPr>
        <w:t>3</w:t>
      </w:r>
      <w:r>
        <w:rPr>
          <w:rFonts w:hint="default" w:ascii="宋体" w:hAnsi="宋体" w:eastAsia="仿宋_GB2312"/>
          <w:sz w:val="32"/>
          <w:szCs w:val="32"/>
          <w:highlight w:val="none"/>
          <w:lang w:val="en-US" w:eastAsia="zh-CN"/>
        </w:rPr>
        <w:t>年</w:t>
      </w:r>
      <w:r>
        <w:rPr>
          <w:rFonts w:hint="eastAsia" w:ascii="宋体" w:hAnsi="宋体" w:eastAsia="仿宋_GB2312"/>
          <w:sz w:val="32"/>
          <w:szCs w:val="32"/>
          <w:highlight w:val="none"/>
          <w:lang w:val="en-US" w:eastAsia="zh-CN"/>
        </w:rPr>
        <w:t>10</w:t>
      </w:r>
      <w:r>
        <w:rPr>
          <w:rFonts w:hint="default" w:ascii="宋体" w:hAnsi="宋体" w:eastAsia="仿宋_GB2312"/>
          <w:sz w:val="32"/>
          <w:szCs w:val="32"/>
          <w:highlight w:val="none"/>
          <w:lang w:val="en-US" w:eastAsia="zh-CN"/>
        </w:rPr>
        <w:t>月</w:t>
      </w:r>
      <w:r>
        <w:rPr>
          <w:rFonts w:hint="eastAsia" w:ascii="宋体" w:hAnsi="宋体" w:eastAsia="仿宋_GB2312"/>
          <w:sz w:val="32"/>
          <w:szCs w:val="32"/>
          <w:highlight w:val="none"/>
          <w:lang w:val="en-US" w:eastAsia="zh-CN"/>
        </w:rPr>
        <w:t>1</w:t>
      </w:r>
      <w:r>
        <w:rPr>
          <w:rFonts w:hint="default" w:ascii="宋体" w:hAnsi="宋体" w:eastAsia="仿宋_GB2312"/>
          <w:sz w:val="32"/>
          <w:szCs w:val="32"/>
          <w:highlight w:val="none"/>
          <w:lang w:val="en-US" w:eastAsia="zh-CN"/>
        </w:rPr>
        <w:t>日至提交竞价报名材料当天没有刑事处罚记录</w:t>
      </w:r>
      <w:r>
        <w:rPr>
          <w:rFonts w:hint="eastAsia" w:ascii="宋体" w:hAnsi="宋体" w:eastAsia="仿宋_GB2312"/>
          <w:sz w:val="32"/>
          <w:szCs w:val="32"/>
          <w:highlight w:val="none"/>
          <w:lang w:val="en-US" w:eastAsia="zh-CN"/>
        </w:rPr>
        <w:t>（</w:t>
      </w:r>
      <w:r>
        <w:rPr>
          <w:rFonts w:hint="default" w:ascii="宋体" w:hAnsi="宋体" w:eastAsia="仿宋_GB2312"/>
          <w:sz w:val="32"/>
          <w:szCs w:val="32"/>
          <w:highlight w:val="none"/>
          <w:lang w:val="en-US" w:eastAsia="zh-CN"/>
        </w:rPr>
        <w:t>备注：无犯罪记录证明可通过“微信小程序粤省事→搜索栏目→无犯罪记录证明”申请</w:t>
      </w:r>
      <w:r>
        <w:rPr>
          <w:rFonts w:hint="eastAsia" w:ascii="宋体" w:hAnsi="宋体" w:eastAsia="仿宋_GB2312"/>
          <w:sz w:val="32"/>
          <w:szCs w:val="32"/>
          <w:highlight w:val="none"/>
          <w:lang w:val="en-US" w:eastAsia="zh-CN"/>
        </w:rPr>
        <w:t>）</w:t>
      </w:r>
      <w:r>
        <w:rPr>
          <w:rFonts w:hint="default" w:ascii="宋体" w:hAnsi="宋体" w:eastAsia="仿宋_GB2312"/>
          <w:sz w:val="32"/>
          <w:szCs w:val="32"/>
          <w:highlight w:val="none"/>
          <w:lang w:val="en-US" w:eastAsia="zh-CN"/>
        </w:rPr>
        <w:t>。</w:t>
      </w:r>
    </w:p>
    <w:p w14:paraId="2F8BC0EA">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eastAsia"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6.</w:t>
      </w:r>
      <w:r>
        <w:rPr>
          <w:rFonts w:hint="default" w:ascii="宋体" w:hAnsi="宋体" w:eastAsia="仿宋_GB2312"/>
          <w:sz w:val="32"/>
          <w:szCs w:val="32"/>
          <w:highlight w:val="none"/>
          <w:lang w:val="en-US" w:eastAsia="zh-CN"/>
        </w:rPr>
        <w:t>竞价人（单位）及其法定代表人、主要负责人</w:t>
      </w:r>
      <w:r>
        <w:rPr>
          <w:rFonts w:hint="eastAsia" w:ascii="宋体" w:hAnsi="宋体" w:eastAsia="仿宋_GB2312"/>
          <w:sz w:val="32"/>
          <w:szCs w:val="32"/>
          <w:highlight w:val="none"/>
          <w:lang w:val="en-US" w:eastAsia="zh-CN"/>
        </w:rPr>
        <w:t>没有</w:t>
      </w:r>
      <w:r>
        <w:rPr>
          <w:rFonts w:hint="default" w:ascii="宋体" w:hAnsi="宋体" w:eastAsia="仿宋_GB2312"/>
          <w:sz w:val="32"/>
          <w:szCs w:val="32"/>
          <w:highlight w:val="none"/>
          <w:lang w:val="en-US" w:eastAsia="zh-CN"/>
        </w:rPr>
        <w:t>被列入失信被执行人名单、安全生产领域失信联合惩戒名单</w:t>
      </w:r>
      <w:r>
        <w:rPr>
          <w:rFonts w:hint="eastAsia" w:ascii="宋体" w:hAnsi="宋体" w:eastAsia="仿宋_GB2312"/>
          <w:sz w:val="32"/>
          <w:szCs w:val="32"/>
          <w:highlight w:val="none"/>
          <w:lang w:val="en-US" w:eastAsia="zh-CN"/>
        </w:rPr>
        <w:t>。</w:t>
      </w:r>
    </w:p>
    <w:p w14:paraId="3CB5F6C4">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eastAsia"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7.</w:t>
      </w:r>
      <w:r>
        <w:rPr>
          <w:rFonts w:hint="default" w:ascii="宋体" w:hAnsi="宋体" w:eastAsia="仿宋_GB2312"/>
          <w:sz w:val="32"/>
          <w:szCs w:val="32"/>
          <w:highlight w:val="none"/>
          <w:lang w:val="en-US" w:eastAsia="zh-CN"/>
        </w:rPr>
        <w:t>竞价人（单位）</w:t>
      </w:r>
      <w:r>
        <w:rPr>
          <w:rFonts w:hint="eastAsia" w:ascii="宋体" w:hAnsi="宋体" w:eastAsia="仿宋_GB2312"/>
          <w:sz w:val="32"/>
          <w:szCs w:val="32"/>
          <w:highlight w:val="none"/>
          <w:lang w:val="en-US" w:eastAsia="zh-CN"/>
        </w:rPr>
        <w:t>在一年内未因超量储存、销售非法生产经营的烟花爆竹行为被行政处罚。</w:t>
      </w:r>
    </w:p>
    <w:p w14:paraId="3A0D5901">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8.</w:t>
      </w:r>
      <w:r>
        <w:rPr>
          <w:rFonts w:hint="default" w:ascii="宋体" w:hAnsi="宋体" w:eastAsia="仿宋_GB2312"/>
          <w:sz w:val="32"/>
          <w:szCs w:val="32"/>
          <w:highlight w:val="none"/>
          <w:lang w:val="en-US" w:eastAsia="zh-CN"/>
        </w:rPr>
        <w:t>本次竞价不接受联合体报名。</w:t>
      </w:r>
    </w:p>
    <w:p w14:paraId="2452827F">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宋体" w:hAnsi="宋体" w:eastAsia="仿宋_GB2312"/>
          <w:sz w:val="32"/>
          <w:szCs w:val="32"/>
          <w:highlight w:val="none"/>
          <w:lang w:val="en-US" w:eastAsia="zh-CN"/>
        </w:rPr>
      </w:pPr>
      <w:r>
        <w:rPr>
          <w:rFonts w:hint="eastAsia" w:ascii="宋体" w:hAnsi="宋体" w:eastAsia="仿宋_GB2312"/>
          <w:sz w:val="32"/>
          <w:szCs w:val="32"/>
          <w:highlight w:val="none"/>
          <w:lang w:val="en-US" w:eastAsia="zh-CN"/>
        </w:rPr>
        <w:t>9.</w:t>
      </w:r>
      <w:r>
        <w:rPr>
          <w:rFonts w:hint="default" w:ascii="宋体" w:hAnsi="宋体" w:eastAsia="仿宋_GB2312"/>
          <w:sz w:val="32"/>
          <w:szCs w:val="32"/>
          <w:highlight w:val="none"/>
          <w:lang w:val="en-US" w:eastAsia="zh-CN"/>
        </w:rPr>
        <w:t>法律</w:t>
      </w:r>
      <w:r>
        <w:rPr>
          <w:rFonts w:hint="eastAsia" w:ascii="宋体" w:hAnsi="宋体" w:eastAsia="仿宋_GB2312"/>
          <w:sz w:val="32"/>
          <w:szCs w:val="32"/>
          <w:highlight w:val="none"/>
          <w:lang w:val="en-US" w:eastAsia="zh-CN"/>
        </w:rPr>
        <w:t>、</w:t>
      </w:r>
      <w:r>
        <w:rPr>
          <w:rFonts w:hint="default" w:ascii="宋体" w:hAnsi="宋体" w:eastAsia="仿宋_GB2312"/>
          <w:sz w:val="32"/>
          <w:szCs w:val="32"/>
          <w:highlight w:val="none"/>
          <w:lang w:val="en-US" w:eastAsia="zh-CN"/>
        </w:rPr>
        <w:t>法规规定的其他条件。</w:t>
      </w:r>
    </w:p>
    <w:p w14:paraId="292F98B9">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楷体_GB2312" w:hAnsi="楷体_GB2312" w:eastAsia="楷体_GB2312" w:cs="楷体_GB2312"/>
          <w:sz w:val="32"/>
          <w:szCs w:val="32"/>
          <w:highlight w:val="none"/>
          <w:lang w:val="en-US" w:eastAsia="zh-CN"/>
        </w:rPr>
      </w:pPr>
      <w:r>
        <w:rPr>
          <w:rFonts w:hint="default" w:ascii="楷体_GB2312" w:hAnsi="楷体_GB2312" w:eastAsia="楷体_GB2312" w:cs="楷体_GB2312"/>
          <w:sz w:val="32"/>
          <w:szCs w:val="32"/>
          <w:highlight w:val="none"/>
          <w:lang w:val="en-US" w:eastAsia="zh-CN"/>
        </w:rPr>
        <w:t>（</w:t>
      </w:r>
      <w:r>
        <w:rPr>
          <w:rFonts w:hint="eastAsia" w:ascii="楷体_GB2312" w:hAnsi="楷体_GB2312" w:eastAsia="楷体_GB2312" w:cs="楷体_GB2312"/>
          <w:sz w:val="32"/>
          <w:szCs w:val="32"/>
          <w:highlight w:val="none"/>
          <w:lang w:val="en-US" w:eastAsia="zh-CN"/>
        </w:rPr>
        <w:t>二</w:t>
      </w:r>
      <w:r>
        <w:rPr>
          <w:rFonts w:hint="default" w:ascii="楷体_GB2312" w:hAnsi="楷体_GB2312" w:eastAsia="楷体_GB2312" w:cs="楷体_GB2312"/>
          <w:sz w:val="32"/>
          <w:szCs w:val="32"/>
          <w:highlight w:val="none"/>
          <w:lang w:val="en-US" w:eastAsia="zh-CN"/>
        </w:rPr>
        <w:t>）经营场地</w:t>
      </w:r>
    </w:p>
    <w:p w14:paraId="0E36C13B">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竞得人（单位）需要自行解决经营场地问题，且经营场地必须符合《烟花爆竹经营许可实施办法》《烟花爆竹零售店（点）安全技术规范》（AQ4128）</w:t>
      </w:r>
      <w:r>
        <w:rPr>
          <w:rFonts w:hint="eastAsia" w:ascii="宋体" w:hAnsi="宋体" w:eastAsia="仿宋_GB2312" w:cs="Times New Roman"/>
          <w:kern w:val="2"/>
          <w:sz w:val="32"/>
          <w:szCs w:val="32"/>
          <w:highlight w:val="none"/>
          <w:lang w:val="en-US" w:eastAsia="zh-CN" w:bidi="ar-SA"/>
        </w:rPr>
        <w:t>和《恩平市烟花爆竹经营（零售）布点规划方案》</w:t>
      </w:r>
      <w:r>
        <w:rPr>
          <w:rFonts w:hint="default" w:ascii="宋体" w:hAnsi="宋体" w:eastAsia="仿宋_GB2312" w:cs="Times New Roman"/>
          <w:kern w:val="2"/>
          <w:sz w:val="32"/>
          <w:szCs w:val="32"/>
          <w:highlight w:val="none"/>
          <w:lang w:val="en-US" w:eastAsia="zh-CN" w:bidi="ar-SA"/>
        </w:rPr>
        <w:t>。</w:t>
      </w:r>
    </w:p>
    <w:p w14:paraId="426AB4BC">
      <w:pPr>
        <w:keepNext w:val="0"/>
        <w:keepLines w:val="0"/>
        <w:pageBreakBefore w:val="0"/>
        <w:widowControl w:val="0"/>
        <w:kinsoku/>
        <w:wordWrap/>
        <w:overflowPunct/>
        <w:topLinePunct w:val="0"/>
        <w:autoSpaceDE/>
        <w:autoSpaceDN/>
        <w:bidi w:val="0"/>
        <w:adjustRightInd/>
        <w:snapToGrid/>
        <w:spacing w:line="540" w:lineRule="exact"/>
        <w:ind w:firstLine="636" w:firstLineChars="200"/>
        <w:textAlignment w:val="auto"/>
        <w:rPr>
          <w:rFonts w:hint="default" w:ascii="宋体" w:hAnsi="宋体" w:eastAsia="黑体" w:cs="Times New Roman"/>
          <w:sz w:val="32"/>
          <w:szCs w:val="32"/>
          <w:highlight w:val="none"/>
          <w:lang w:val="en-US" w:eastAsia="zh-CN"/>
        </w:rPr>
      </w:pPr>
      <w:r>
        <w:rPr>
          <w:rFonts w:hint="eastAsia" w:ascii="宋体" w:hAnsi="宋体" w:eastAsia="黑体" w:cs="Times New Roman"/>
          <w:sz w:val="32"/>
          <w:szCs w:val="32"/>
          <w:highlight w:val="none"/>
          <w:lang w:val="en-US" w:eastAsia="zh-CN"/>
        </w:rPr>
        <w:t>三</w:t>
      </w:r>
      <w:r>
        <w:rPr>
          <w:rFonts w:hint="default" w:ascii="宋体" w:hAnsi="宋体" w:eastAsia="黑体" w:cs="Times New Roman"/>
          <w:sz w:val="32"/>
          <w:szCs w:val="32"/>
          <w:highlight w:val="none"/>
          <w:lang w:val="en-US" w:eastAsia="zh-CN"/>
        </w:rPr>
        <w:t>、公开竞价的程序和方式</w:t>
      </w:r>
    </w:p>
    <w:p w14:paraId="31603EE3">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楷体_GB2312" w:hAnsi="楷体_GB2312" w:eastAsia="楷体_GB2312" w:cs="楷体_GB2312"/>
          <w:sz w:val="32"/>
          <w:szCs w:val="32"/>
          <w:highlight w:val="none"/>
          <w:lang w:val="en-US" w:eastAsia="zh-CN"/>
        </w:rPr>
      </w:pPr>
      <w:r>
        <w:rPr>
          <w:rFonts w:hint="default" w:ascii="楷体_GB2312" w:hAnsi="楷体_GB2312" w:eastAsia="楷体_GB2312" w:cs="楷体_GB2312"/>
          <w:sz w:val="32"/>
          <w:szCs w:val="32"/>
          <w:highlight w:val="none"/>
          <w:lang w:val="en-US" w:eastAsia="zh-CN"/>
        </w:rPr>
        <w:t>（一）组织实施机构</w:t>
      </w:r>
    </w:p>
    <w:p w14:paraId="0771CE6E">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本次公开竞价工作由市应急管理局作为主要实施单位，具体负责统筹组织本次烟花爆竹零售经营权指标公开竞价相关工作，包括前期部署、资格初审、流程监督、结果公示等全流程事项，市财政局、市市场监管局、各镇政府</w:t>
      </w:r>
      <w:r>
        <w:rPr>
          <w:rFonts w:hint="eastAsia" w:ascii="宋体" w:hAnsi="宋体" w:eastAsia="仿宋_GB2312" w:cs="Times New Roman"/>
          <w:kern w:val="2"/>
          <w:sz w:val="32"/>
          <w:szCs w:val="32"/>
          <w:highlight w:val="none"/>
          <w:lang w:val="en-US" w:eastAsia="zh-CN" w:bidi="ar-SA"/>
        </w:rPr>
        <w:t>（</w:t>
      </w:r>
      <w:r>
        <w:rPr>
          <w:rFonts w:hint="default" w:ascii="宋体" w:hAnsi="宋体" w:eastAsia="仿宋_GB2312" w:cs="Times New Roman"/>
          <w:kern w:val="2"/>
          <w:sz w:val="32"/>
          <w:szCs w:val="32"/>
          <w:highlight w:val="none"/>
          <w:lang w:val="en-US" w:eastAsia="zh-CN" w:bidi="ar-SA"/>
        </w:rPr>
        <w:t>街道办</w:t>
      </w:r>
      <w:r>
        <w:rPr>
          <w:rFonts w:hint="eastAsia" w:ascii="宋体" w:hAnsi="宋体" w:eastAsia="仿宋_GB2312" w:cs="Times New Roman"/>
          <w:kern w:val="2"/>
          <w:sz w:val="32"/>
          <w:szCs w:val="32"/>
          <w:highlight w:val="none"/>
          <w:lang w:val="en-US" w:eastAsia="zh-CN" w:bidi="ar-SA"/>
        </w:rPr>
        <w:t>）</w:t>
      </w:r>
      <w:r>
        <w:rPr>
          <w:rFonts w:hint="default" w:ascii="宋体" w:hAnsi="宋体" w:eastAsia="仿宋_GB2312" w:cs="Times New Roman"/>
          <w:kern w:val="2"/>
          <w:sz w:val="32"/>
          <w:szCs w:val="32"/>
          <w:highlight w:val="none"/>
          <w:lang w:val="en-US" w:eastAsia="zh-CN" w:bidi="ar-SA"/>
        </w:rPr>
        <w:t>等相关单位按照各自职责分工做好配合保障。</w:t>
      </w:r>
    </w:p>
    <w:p w14:paraId="7E7B5567">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楷体_GB2312" w:hAnsi="楷体_GB2312" w:eastAsia="楷体_GB2312" w:cs="楷体_GB2312"/>
          <w:sz w:val="32"/>
          <w:szCs w:val="32"/>
          <w:highlight w:val="none"/>
          <w:lang w:val="en-US" w:eastAsia="zh-CN"/>
        </w:rPr>
      </w:pPr>
      <w:r>
        <w:rPr>
          <w:rFonts w:hint="default" w:ascii="楷体_GB2312" w:hAnsi="楷体_GB2312" w:eastAsia="楷体_GB2312" w:cs="楷体_GB2312"/>
          <w:sz w:val="32"/>
          <w:szCs w:val="32"/>
          <w:highlight w:val="none"/>
          <w:lang w:val="en-US" w:eastAsia="zh-CN"/>
        </w:rPr>
        <w:t>（二）公开竞价保留底价评估</w:t>
      </w:r>
    </w:p>
    <w:p w14:paraId="38661161">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市应急管理局按照政府采购程序规定，选择有资质的第三方资产评估公司，对烟花爆竹零售经营权指标公开竞价保留底价进行评估，并经市财政局核准，确定不同烟花爆竹零售点公开竞价起拍价和保证金。</w:t>
      </w:r>
    </w:p>
    <w:p w14:paraId="0560811A">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楷体_GB2312" w:hAnsi="楷体_GB2312" w:eastAsia="楷体_GB2312" w:cs="楷体_GB2312"/>
          <w:sz w:val="32"/>
          <w:szCs w:val="32"/>
          <w:highlight w:val="none"/>
          <w:lang w:val="en-US" w:eastAsia="zh-CN"/>
        </w:rPr>
      </w:pPr>
      <w:r>
        <w:rPr>
          <w:rFonts w:hint="default" w:ascii="楷体_GB2312" w:hAnsi="楷体_GB2312" w:eastAsia="楷体_GB2312" w:cs="楷体_GB2312"/>
          <w:sz w:val="32"/>
          <w:szCs w:val="32"/>
          <w:highlight w:val="none"/>
          <w:lang w:val="en-US" w:eastAsia="zh-CN"/>
        </w:rPr>
        <w:t>（三）竞价资格确认及公开竞价</w:t>
      </w:r>
    </w:p>
    <w:p w14:paraId="4F4A60E7">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1.根据</w:t>
      </w:r>
      <w:r>
        <w:rPr>
          <w:rFonts w:hint="eastAsia" w:ascii="宋体" w:hAnsi="宋体" w:eastAsia="仿宋_GB2312"/>
          <w:sz w:val="32"/>
          <w:szCs w:val="32"/>
          <w:highlight w:val="none"/>
        </w:rPr>
        <w:t>《关于印发〈恩平市公共资源有偿使用管理办法（试行）〉的通知》（恩府办〔2024〕77号）</w:t>
      </w:r>
      <w:r>
        <w:rPr>
          <w:rFonts w:hint="default" w:ascii="宋体" w:hAnsi="宋体" w:eastAsia="仿宋_GB2312" w:cs="Times New Roman"/>
          <w:kern w:val="2"/>
          <w:sz w:val="32"/>
          <w:szCs w:val="32"/>
          <w:highlight w:val="none"/>
          <w:lang w:val="en-US" w:eastAsia="zh-CN" w:bidi="ar-SA"/>
        </w:rPr>
        <w:t>，市应急管理局委托具有资质的第三方公司</w:t>
      </w:r>
      <w:r>
        <w:rPr>
          <w:rFonts w:hint="eastAsia" w:ascii="宋体" w:hAnsi="宋体" w:eastAsia="仿宋_GB2312" w:cs="Times New Roman"/>
          <w:kern w:val="2"/>
          <w:sz w:val="32"/>
          <w:szCs w:val="32"/>
          <w:highlight w:val="none"/>
          <w:lang w:val="en-US" w:eastAsia="zh-CN" w:bidi="ar-SA"/>
        </w:rPr>
        <w:t>具体</w:t>
      </w:r>
      <w:r>
        <w:rPr>
          <w:rFonts w:hint="default" w:ascii="宋体" w:hAnsi="宋体" w:eastAsia="仿宋_GB2312" w:cs="Times New Roman"/>
          <w:kern w:val="2"/>
          <w:sz w:val="32"/>
          <w:szCs w:val="32"/>
          <w:highlight w:val="none"/>
          <w:lang w:val="en-US" w:eastAsia="zh-CN" w:bidi="ar-SA"/>
        </w:rPr>
        <w:t>负责公开竞价相关工作</w:t>
      </w:r>
      <w:r>
        <w:rPr>
          <w:rFonts w:hint="eastAsia" w:ascii="宋体" w:hAnsi="宋体" w:eastAsia="仿宋_GB2312" w:cs="Times New Roman"/>
          <w:kern w:val="2"/>
          <w:sz w:val="32"/>
          <w:szCs w:val="32"/>
          <w:highlight w:val="none"/>
          <w:lang w:val="en-US" w:eastAsia="zh-CN" w:bidi="ar-SA"/>
        </w:rPr>
        <w:t>。</w:t>
      </w:r>
      <w:r>
        <w:rPr>
          <w:rFonts w:hint="default" w:ascii="宋体" w:hAnsi="宋体" w:eastAsia="仿宋_GB2312" w:cs="Times New Roman"/>
          <w:kern w:val="2"/>
          <w:sz w:val="32"/>
          <w:szCs w:val="32"/>
          <w:highlight w:val="none"/>
          <w:lang w:val="en-US" w:eastAsia="zh-CN" w:bidi="ar-SA"/>
        </w:rPr>
        <w:t>公开竞价通过线上平台公开进行，确保公开竞价过程的专业性与公平性。具体竞价时间及事宜以拍卖公告为准</w:t>
      </w:r>
      <w:r>
        <w:rPr>
          <w:rFonts w:hint="eastAsia" w:ascii="宋体" w:hAnsi="宋体" w:eastAsia="仿宋_GB2312" w:cs="Times New Roman"/>
          <w:kern w:val="2"/>
          <w:sz w:val="32"/>
          <w:szCs w:val="32"/>
          <w:highlight w:val="none"/>
          <w:lang w:val="en-US" w:eastAsia="zh-CN" w:bidi="ar-SA"/>
        </w:rPr>
        <w:t>。</w:t>
      </w:r>
    </w:p>
    <w:p w14:paraId="507B25B4">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2.竞价人（单位）按照要求在公告期内向交易机构提交报名材料并交纳竞价保证金</w:t>
      </w:r>
      <w:r>
        <w:rPr>
          <w:rFonts w:hint="eastAsia" w:ascii="宋体" w:hAnsi="宋体" w:eastAsia="仿宋_GB2312" w:cs="Times New Roman"/>
          <w:kern w:val="2"/>
          <w:sz w:val="32"/>
          <w:szCs w:val="32"/>
          <w:highlight w:val="none"/>
          <w:lang w:val="en-US" w:eastAsia="zh-CN" w:bidi="ar-SA"/>
        </w:rPr>
        <w:t>（竞价保证金不计息）</w:t>
      </w:r>
      <w:r>
        <w:rPr>
          <w:rFonts w:hint="default" w:ascii="宋体" w:hAnsi="宋体" w:eastAsia="仿宋_GB2312" w:cs="Times New Roman"/>
          <w:kern w:val="2"/>
          <w:sz w:val="32"/>
          <w:szCs w:val="32"/>
          <w:highlight w:val="none"/>
          <w:lang w:val="en-US" w:eastAsia="zh-CN" w:bidi="ar-SA"/>
        </w:rPr>
        <w:t>，经资格审查合格后方可取得竞价资格。竞价人（单位）获得竞价资格后，在规定时间内通过规定的竞价系统</w:t>
      </w:r>
      <w:r>
        <w:rPr>
          <w:rFonts w:hint="eastAsia" w:ascii="宋体" w:hAnsi="宋体" w:eastAsia="仿宋_GB2312" w:cs="Times New Roman"/>
          <w:kern w:val="2"/>
          <w:sz w:val="32"/>
          <w:szCs w:val="32"/>
          <w:highlight w:val="none"/>
          <w:lang w:val="en-US" w:eastAsia="zh-CN" w:bidi="ar-SA"/>
        </w:rPr>
        <w:t>参与</w:t>
      </w:r>
      <w:r>
        <w:rPr>
          <w:rFonts w:hint="default" w:ascii="宋体" w:hAnsi="宋体" w:eastAsia="仿宋_GB2312" w:cs="Times New Roman"/>
          <w:kern w:val="2"/>
          <w:sz w:val="32"/>
          <w:szCs w:val="32"/>
          <w:highlight w:val="none"/>
          <w:lang w:val="en-US" w:eastAsia="zh-CN" w:bidi="ar-SA"/>
        </w:rPr>
        <w:t>竞价，每个指标单独竞价，交易机构按</w:t>
      </w:r>
      <w:r>
        <w:rPr>
          <w:rFonts w:hint="eastAsia" w:ascii="宋体" w:hAnsi="宋体" w:eastAsia="仿宋_GB2312" w:cs="Times New Roman"/>
          <w:kern w:val="2"/>
          <w:sz w:val="32"/>
          <w:szCs w:val="32"/>
          <w:highlight w:val="none"/>
          <w:lang w:val="en-US" w:eastAsia="zh-CN" w:bidi="ar-SA"/>
        </w:rPr>
        <w:t>“</w:t>
      </w:r>
      <w:r>
        <w:rPr>
          <w:rFonts w:hint="default" w:ascii="宋体" w:hAnsi="宋体" w:eastAsia="仿宋_GB2312" w:cs="Times New Roman"/>
          <w:kern w:val="2"/>
          <w:sz w:val="32"/>
          <w:szCs w:val="32"/>
          <w:highlight w:val="none"/>
          <w:lang w:val="en-US" w:eastAsia="zh-CN" w:bidi="ar-SA"/>
        </w:rPr>
        <w:t>价高者得</w:t>
      </w:r>
      <w:r>
        <w:rPr>
          <w:rFonts w:hint="eastAsia" w:ascii="宋体" w:hAnsi="宋体" w:eastAsia="仿宋_GB2312" w:cs="Times New Roman"/>
          <w:kern w:val="2"/>
          <w:sz w:val="32"/>
          <w:szCs w:val="32"/>
          <w:highlight w:val="none"/>
          <w:lang w:val="en-US" w:eastAsia="zh-CN" w:bidi="ar-SA"/>
        </w:rPr>
        <w:t>”的原则</w:t>
      </w:r>
      <w:r>
        <w:rPr>
          <w:rFonts w:hint="default" w:ascii="宋体" w:hAnsi="宋体" w:eastAsia="仿宋_GB2312" w:cs="Times New Roman"/>
          <w:kern w:val="2"/>
          <w:sz w:val="32"/>
          <w:szCs w:val="32"/>
          <w:highlight w:val="none"/>
          <w:lang w:val="en-US" w:eastAsia="zh-CN" w:bidi="ar-SA"/>
        </w:rPr>
        <w:t>确定竞得人（单位）。</w:t>
      </w:r>
    </w:p>
    <w:p w14:paraId="6DF3E0B8">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3.确定中标后3个工作日内，竞得人（单位）通过线下或线上结清成交价款的方式一次性缴付全部成交价款，完成缴款后即取得该片区烟花爆竹零售点经营权指标。如果竞得人（单位）不按规定结清成交价款的，视为其违约行为，该标的竞拍结果无效，按流拍处理，竞价保证金本金和利息不予退还。</w:t>
      </w:r>
    </w:p>
    <w:p w14:paraId="6175BDE7">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4.未竞价成功的竞价人（单位），在竞价工作完成后，保证金在5个工作日内</w:t>
      </w:r>
      <w:r>
        <w:rPr>
          <w:rFonts w:hint="eastAsia" w:ascii="宋体" w:hAnsi="宋体" w:eastAsia="仿宋_GB2312" w:cs="Times New Roman"/>
          <w:kern w:val="2"/>
          <w:sz w:val="32"/>
          <w:szCs w:val="32"/>
          <w:highlight w:val="none"/>
          <w:lang w:val="en-US" w:eastAsia="zh-CN" w:bidi="ar-SA"/>
        </w:rPr>
        <w:t>经</w:t>
      </w:r>
      <w:r>
        <w:rPr>
          <w:rFonts w:hint="default" w:ascii="宋体" w:hAnsi="宋体" w:eastAsia="仿宋_GB2312" w:cs="Times New Roman"/>
          <w:kern w:val="2"/>
          <w:sz w:val="32"/>
          <w:szCs w:val="32"/>
          <w:highlight w:val="none"/>
          <w:lang w:val="en-US" w:eastAsia="zh-CN" w:bidi="ar-SA"/>
        </w:rPr>
        <w:t>原支付路径全额无息退还。</w:t>
      </w:r>
    </w:p>
    <w:p w14:paraId="715F2CBF">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5.竞价所得款纳入地方财政收入</w:t>
      </w:r>
      <w:r>
        <w:rPr>
          <w:rFonts w:hint="eastAsia" w:ascii="宋体" w:hAnsi="宋体" w:eastAsia="仿宋_GB2312" w:cs="Times New Roman"/>
          <w:kern w:val="2"/>
          <w:sz w:val="32"/>
          <w:szCs w:val="32"/>
          <w:highlight w:val="none"/>
          <w:lang w:val="en-US" w:eastAsia="zh-CN" w:bidi="ar-SA"/>
        </w:rPr>
        <w:t>，相关费用（含可行性研究、社会风险评估、保留底价评估等第三方咨询服务及拍卖收入涉及税款等费用）由市财政统筹解决</w:t>
      </w:r>
      <w:r>
        <w:rPr>
          <w:rFonts w:hint="default" w:ascii="宋体" w:hAnsi="宋体" w:eastAsia="仿宋_GB2312" w:cs="Times New Roman"/>
          <w:kern w:val="2"/>
          <w:sz w:val="32"/>
          <w:szCs w:val="32"/>
          <w:highlight w:val="none"/>
          <w:lang w:val="en-US" w:eastAsia="zh-CN" w:bidi="ar-SA"/>
        </w:rPr>
        <w:t>。</w:t>
      </w:r>
    </w:p>
    <w:p w14:paraId="586631D9">
      <w:pPr>
        <w:keepNext w:val="0"/>
        <w:keepLines w:val="0"/>
        <w:pageBreakBefore w:val="0"/>
        <w:widowControl w:val="0"/>
        <w:kinsoku/>
        <w:wordWrap/>
        <w:overflowPunct/>
        <w:topLinePunct w:val="0"/>
        <w:autoSpaceDE/>
        <w:autoSpaceDN/>
        <w:bidi w:val="0"/>
        <w:adjustRightInd/>
        <w:snapToGrid/>
        <w:spacing w:line="540" w:lineRule="exact"/>
        <w:ind w:firstLine="636" w:firstLineChars="200"/>
        <w:jc w:val="left"/>
        <w:textAlignment w:val="auto"/>
        <w:rPr>
          <w:rFonts w:hint="default" w:ascii="楷体_GB2312" w:hAnsi="楷体_GB2312" w:eastAsia="楷体_GB2312" w:cs="楷体_GB2312"/>
          <w:sz w:val="32"/>
          <w:szCs w:val="32"/>
          <w:highlight w:val="none"/>
          <w:lang w:val="en-US" w:eastAsia="zh-CN"/>
        </w:rPr>
      </w:pPr>
      <w:r>
        <w:rPr>
          <w:rFonts w:hint="default" w:ascii="楷体_GB2312" w:hAnsi="楷体_GB2312" w:eastAsia="楷体_GB2312" w:cs="楷体_GB2312"/>
          <w:sz w:val="32"/>
          <w:szCs w:val="32"/>
          <w:highlight w:val="none"/>
          <w:lang w:val="en-US" w:eastAsia="zh-CN"/>
        </w:rPr>
        <w:t>（四）流拍标的处理</w:t>
      </w:r>
    </w:p>
    <w:p w14:paraId="42B812B3">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片区经营权指标首次公开竞价流拍后，将下调起拍价后对该片区经营权指标重新挂牌转让（不再重新评估），每次下调幅度为初始起拍价的1</w:t>
      </w:r>
      <w:r>
        <w:rPr>
          <w:rFonts w:hint="eastAsia" w:ascii="宋体" w:hAnsi="宋体" w:eastAsia="仿宋_GB2312" w:cs="Times New Roman"/>
          <w:kern w:val="2"/>
          <w:sz w:val="32"/>
          <w:szCs w:val="32"/>
          <w:highlight w:val="none"/>
          <w:lang w:val="en-US" w:eastAsia="zh-CN" w:bidi="ar-SA"/>
        </w:rPr>
        <w:t>0</w:t>
      </w:r>
      <w:r>
        <w:rPr>
          <w:rFonts w:hint="default" w:ascii="宋体" w:hAnsi="宋体" w:eastAsia="仿宋_GB2312" w:cs="Times New Roman"/>
          <w:kern w:val="2"/>
          <w:sz w:val="32"/>
          <w:szCs w:val="32"/>
          <w:highlight w:val="none"/>
          <w:lang w:val="en-US" w:eastAsia="zh-CN" w:bidi="ar-SA"/>
        </w:rPr>
        <w:t>%。流拍3次后，停止该片区经营权指标拍卖，由市应急管理局研究后另行处置。</w:t>
      </w:r>
    </w:p>
    <w:p w14:paraId="115D4085">
      <w:pPr>
        <w:pStyle w:val="2"/>
        <w:keepNext w:val="0"/>
        <w:keepLines w:val="0"/>
        <w:pageBreakBefore w:val="0"/>
        <w:widowControl w:val="0"/>
        <w:kinsoku/>
        <w:wordWrap/>
        <w:overflowPunct/>
        <w:topLinePunct w:val="0"/>
        <w:autoSpaceDE/>
        <w:autoSpaceDN/>
        <w:bidi w:val="0"/>
        <w:spacing w:line="540" w:lineRule="exac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四、退出机制</w:t>
      </w:r>
    </w:p>
    <w:p w14:paraId="6341CE25">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（一）烟花爆竹零售经营权指标不得向他人转让，到期后自动失效。</w:t>
      </w:r>
    </w:p>
    <w:p w14:paraId="41146D47">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（二）竞得人（单位）需要自行解决烟花爆竹零售经营场地问题，</w:t>
      </w:r>
      <w:r>
        <w:rPr>
          <w:rFonts w:hint="eastAsia" w:ascii="宋体" w:hAnsi="宋体" w:eastAsia="仿宋_GB2312" w:cs="Times New Roman"/>
          <w:kern w:val="2"/>
          <w:sz w:val="32"/>
          <w:szCs w:val="32"/>
          <w:highlight w:val="none"/>
          <w:lang w:val="en-US" w:eastAsia="zh-CN" w:bidi="ar-SA"/>
        </w:rPr>
        <w:t>按照</w:t>
      </w:r>
      <w:r>
        <w:rPr>
          <w:rFonts w:hint="default" w:ascii="宋体" w:hAnsi="宋体" w:eastAsia="仿宋_GB2312" w:cs="Times New Roman"/>
          <w:kern w:val="2"/>
          <w:sz w:val="32"/>
          <w:szCs w:val="32"/>
          <w:highlight w:val="none"/>
          <w:lang w:val="en-US" w:eastAsia="zh-CN" w:bidi="ar-SA"/>
        </w:rPr>
        <w:t>《烟花爆竹经营许可实施办法》</w:t>
      </w:r>
      <w:r>
        <w:rPr>
          <w:rFonts w:hint="eastAsia" w:ascii="宋体" w:hAnsi="宋体" w:eastAsia="仿宋_GB2312" w:cs="Times New Roman"/>
          <w:kern w:val="2"/>
          <w:sz w:val="32"/>
          <w:szCs w:val="32"/>
          <w:highlight w:val="none"/>
          <w:lang w:val="en-US" w:eastAsia="zh-CN" w:bidi="ar-SA"/>
        </w:rPr>
        <w:t>等</w:t>
      </w:r>
      <w:r>
        <w:rPr>
          <w:rFonts w:hint="default" w:ascii="宋体" w:hAnsi="宋体" w:eastAsia="仿宋_GB2312" w:cs="Times New Roman"/>
          <w:kern w:val="2"/>
          <w:sz w:val="32"/>
          <w:szCs w:val="32"/>
          <w:highlight w:val="none"/>
          <w:lang w:val="en-US" w:eastAsia="zh-CN" w:bidi="ar-SA"/>
        </w:rPr>
        <w:t>相关</w:t>
      </w:r>
      <w:r>
        <w:rPr>
          <w:rFonts w:hint="eastAsia" w:ascii="宋体" w:hAnsi="宋体" w:eastAsia="仿宋_GB2312" w:cs="Times New Roman"/>
          <w:kern w:val="2"/>
          <w:sz w:val="32"/>
          <w:szCs w:val="32"/>
          <w:highlight w:val="none"/>
          <w:lang w:val="en-US" w:eastAsia="zh-CN" w:bidi="ar-SA"/>
        </w:rPr>
        <w:t>规定申请办理《烟花爆竹经营（零售）许可证》</w:t>
      </w:r>
      <w:r>
        <w:rPr>
          <w:rFonts w:hint="default" w:ascii="宋体" w:hAnsi="宋体" w:eastAsia="仿宋_GB2312" w:cs="Times New Roman"/>
          <w:kern w:val="2"/>
          <w:sz w:val="32"/>
          <w:szCs w:val="32"/>
          <w:highlight w:val="none"/>
          <w:lang w:val="en-US" w:eastAsia="zh-CN" w:bidi="ar-SA"/>
        </w:rPr>
        <w:t>。因自身原因，竞得人（单位）在取得该片区烟花爆竹经营权指标后</w:t>
      </w:r>
      <w:r>
        <w:rPr>
          <w:rFonts w:hint="eastAsia" w:ascii="宋体" w:hAnsi="宋体" w:eastAsia="仿宋_GB2312" w:cs="Times New Roman"/>
          <w:kern w:val="2"/>
          <w:sz w:val="32"/>
          <w:szCs w:val="32"/>
          <w:highlight w:val="none"/>
          <w:lang w:val="en-US" w:eastAsia="zh-CN" w:bidi="ar-SA"/>
        </w:rPr>
        <w:t>3</w:t>
      </w:r>
      <w:r>
        <w:rPr>
          <w:rFonts w:hint="default" w:ascii="宋体" w:hAnsi="宋体" w:eastAsia="仿宋_GB2312" w:cs="Times New Roman"/>
          <w:kern w:val="2"/>
          <w:sz w:val="32"/>
          <w:szCs w:val="32"/>
          <w:highlight w:val="none"/>
          <w:lang w:val="en-US" w:eastAsia="zh-CN" w:bidi="ar-SA"/>
        </w:rPr>
        <w:t>个月内，因场地不合规未能取得烟花爆竹经营（零售）许可的，视为自动放弃经营权指标，竞价款不予退还。确实属于特殊原因未能按期提供合规场地的，可向市应急管理局申请延长期限，经市应急管理局书面同意后可最高延长到</w:t>
      </w:r>
      <w:r>
        <w:rPr>
          <w:rFonts w:hint="eastAsia" w:ascii="宋体" w:hAnsi="宋体" w:eastAsia="仿宋_GB2312" w:cs="Times New Roman"/>
          <w:kern w:val="2"/>
          <w:sz w:val="32"/>
          <w:szCs w:val="32"/>
          <w:highlight w:val="none"/>
          <w:lang w:val="en-US" w:eastAsia="zh-CN" w:bidi="ar-SA"/>
        </w:rPr>
        <w:t>5</w:t>
      </w:r>
      <w:r>
        <w:rPr>
          <w:rFonts w:hint="default" w:ascii="宋体" w:hAnsi="宋体" w:eastAsia="仿宋_GB2312" w:cs="Times New Roman"/>
          <w:kern w:val="2"/>
          <w:sz w:val="32"/>
          <w:szCs w:val="32"/>
          <w:highlight w:val="none"/>
          <w:lang w:val="en-US" w:eastAsia="zh-CN" w:bidi="ar-SA"/>
        </w:rPr>
        <w:t>个月（即在</w:t>
      </w:r>
      <w:r>
        <w:rPr>
          <w:rFonts w:hint="eastAsia" w:ascii="宋体" w:hAnsi="宋体" w:eastAsia="仿宋_GB2312" w:cs="Times New Roman"/>
          <w:kern w:val="2"/>
          <w:sz w:val="32"/>
          <w:szCs w:val="32"/>
          <w:highlight w:val="none"/>
          <w:lang w:val="en-US" w:eastAsia="zh-CN" w:bidi="ar-SA"/>
        </w:rPr>
        <w:t>3</w:t>
      </w:r>
      <w:r>
        <w:rPr>
          <w:rFonts w:hint="default" w:ascii="宋体" w:hAnsi="宋体" w:eastAsia="仿宋_GB2312" w:cs="Times New Roman"/>
          <w:kern w:val="2"/>
          <w:sz w:val="32"/>
          <w:szCs w:val="32"/>
          <w:highlight w:val="none"/>
          <w:lang w:val="en-US" w:eastAsia="zh-CN" w:bidi="ar-SA"/>
        </w:rPr>
        <w:t>个月基础上延期</w:t>
      </w:r>
      <w:r>
        <w:rPr>
          <w:rFonts w:hint="eastAsia" w:ascii="宋体" w:hAnsi="宋体" w:eastAsia="仿宋_GB2312" w:cs="Times New Roman"/>
          <w:kern w:val="2"/>
          <w:sz w:val="32"/>
          <w:szCs w:val="32"/>
          <w:highlight w:val="none"/>
          <w:lang w:val="en-US" w:eastAsia="zh-CN" w:bidi="ar-SA"/>
        </w:rPr>
        <w:t>2</w:t>
      </w:r>
      <w:r>
        <w:rPr>
          <w:rFonts w:hint="default" w:ascii="宋体" w:hAnsi="宋体" w:eastAsia="仿宋_GB2312" w:cs="Times New Roman"/>
          <w:kern w:val="2"/>
          <w:sz w:val="32"/>
          <w:szCs w:val="32"/>
          <w:highlight w:val="none"/>
          <w:lang w:val="en-US" w:eastAsia="zh-CN" w:bidi="ar-SA"/>
        </w:rPr>
        <w:t>个月）。</w:t>
      </w:r>
    </w:p>
    <w:p w14:paraId="6B05BF71">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（三）根据经营需要，竞得人（单位）可变更经营地址，所变更的经营地址应在原布点单元范围内，且符合《烟花爆竹经营许可实施办法》《烟花爆竹零售店（点）安全技术规范》（AQ 4128）等要求</w:t>
      </w:r>
      <w:r>
        <w:rPr>
          <w:rFonts w:hint="eastAsia" w:ascii="宋体" w:hAnsi="宋体" w:eastAsia="仿宋_GB2312" w:cs="Times New Roman"/>
          <w:kern w:val="2"/>
          <w:sz w:val="32"/>
          <w:szCs w:val="32"/>
          <w:highlight w:val="none"/>
          <w:lang w:val="en-US" w:eastAsia="zh-CN" w:bidi="ar-SA"/>
        </w:rPr>
        <w:t>。</w:t>
      </w:r>
      <w:r>
        <w:rPr>
          <w:rFonts w:hint="default" w:ascii="宋体" w:hAnsi="宋体" w:eastAsia="仿宋_GB2312" w:cs="Times New Roman"/>
          <w:kern w:val="2"/>
          <w:sz w:val="32"/>
          <w:szCs w:val="32"/>
          <w:highlight w:val="none"/>
          <w:lang w:val="en-US" w:eastAsia="zh-CN" w:bidi="ar-SA"/>
        </w:rPr>
        <w:t>经营地址变更需</w:t>
      </w:r>
      <w:r>
        <w:rPr>
          <w:rFonts w:hint="eastAsia" w:ascii="宋体" w:hAnsi="宋体" w:eastAsia="仿宋_GB2312" w:cs="Times New Roman"/>
          <w:kern w:val="2"/>
          <w:sz w:val="32"/>
          <w:szCs w:val="32"/>
          <w:highlight w:val="none"/>
          <w:lang w:val="en-US" w:eastAsia="zh-CN" w:bidi="ar-SA"/>
        </w:rPr>
        <w:t>向市市场监督管理局办理营业执照变更登记，并</w:t>
      </w:r>
      <w:r>
        <w:rPr>
          <w:rFonts w:hint="default" w:ascii="宋体" w:hAnsi="宋体" w:eastAsia="仿宋_GB2312" w:cs="Times New Roman"/>
          <w:kern w:val="2"/>
          <w:sz w:val="32"/>
          <w:szCs w:val="32"/>
          <w:highlight w:val="none"/>
          <w:lang w:val="en-US" w:eastAsia="zh-CN" w:bidi="ar-SA"/>
        </w:rPr>
        <w:t>向市应急管理局</w:t>
      </w:r>
      <w:r>
        <w:rPr>
          <w:rFonts w:hint="eastAsia" w:ascii="宋体" w:hAnsi="宋体" w:eastAsia="仿宋_GB2312" w:cs="Times New Roman"/>
          <w:kern w:val="2"/>
          <w:sz w:val="32"/>
          <w:szCs w:val="32"/>
          <w:highlight w:val="none"/>
          <w:lang w:val="en-US" w:eastAsia="zh-CN" w:bidi="ar-SA"/>
        </w:rPr>
        <w:t>重新</w:t>
      </w:r>
      <w:r>
        <w:rPr>
          <w:rFonts w:hint="default" w:ascii="宋体" w:hAnsi="宋体" w:eastAsia="仿宋_GB2312" w:cs="Times New Roman"/>
          <w:kern w:val="2"/>
          <w:sz w:val="32"/>
          <w:szCs w:val="32"/>
          <w:highlight w:val="none"/>
          <w:lang w:val="en-US" w:eastAsia="zh-CN" w:bidi="ar-SA"/>
        </w:rPr>
        <w:t>申请行政许可</w:t>
      </w:r>
      <w:bookmarkStart w:id="0" w:name="_GoBack"/>
      <w:bookmarkEnd w:id="0"/>
      <w:r>
        <w:rPr>
          <w:rFonts w:hint="default" w:ascii="宋体" w:hAnsi="宋体" w:eastAsia="仿宋_GB2312" w:cs="Times New Roman"/>
          <w:kern w:val="2"/>
          <w:sz w:val="32"/>
          <w:szCs w:val="32"/>
          <w:highlight w:val="none"/>
          <w:lang w:val="en-US" w:eastAsia="zh-CN" w:bidi="ar-SA"/>
        </w:rPr>
        <w:t>。因变更经营场地所产生的费用由竞得人（单位）自行承担。</w:t>
      </w:r>
    </w:p>
    <w:p w14:paraId="0E5B7D1A">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四</w:t>
      </w:r>
      <w:r>
        <w:rPr>
          <w:rFonts w:hint="default" w:ascii="宋体" w:hAnsi="宋体" w:eastAsia="仿宋_GB2312" w:cs="Times New Roman"/>
          <w:kern w:val="2"/>
          <w:sz w:val="32"/>
          <w:szCs w:val="32"/>
          <w:highlight w:val="none"/>
          <w:lang w:val="en-US" w:eastAsia="zh-CN" w:bidi="ar-SA"/>
        </w:rPr>
        <w:t>）因竞得人（单位）自身原因放弃经营的，经营权指标竞价款不予退还。</w:t>
      </w:r>
    </w:p>
    <w:p w14:paraId="7A74D01F">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五</w:t>
      </w:r>
      <w:r>
        <w:rPr>
          <w:rFonts w:hint="default" w:ascii="宋体" w:hAnsi="宋体" w:eastAsia="仿宋_GB2312" w:cs="Times New Roman"/>
          <w:kern w:val="2"/>
          <w:sz w:val="32"/>
          <w:szCs w:val="32"/>
          <w:highlight w:val="none"/>
          <w:lang w:val="en-US" w:eastAsia="zh-CN" w:bidi="ar-SA"/>
        </w:rPr>
        <w:t>）在烟花爆竹经营（零售）过程中，存在重大事故隐患，180日内三次或者一年内四次受到《中华人民共和国安全生产法》《烟花爆竹安全管理条例》《烟花爆竹经营许可实施办法》</w:t>
      </w:r>
      <w:r>
        <w:rPr>
          <w:rFonts w:hint="eastAsia" w:ascii="宋体" w:hAnsi="宋体" w:eastAsia="仿宋_GB2312" w:cs="Times New Roman"/>
          <w:kern w:val="2"/>
          <w:sz w:val="32"/>
          <w:szCs w:val="32"/>
          <w:highlight w:val="none"/>
          <w:lang w:val="en-US" w:eastAsia="zh-CN" w:bidi="ar-SA"/>
        </w:rPr>
        <w:t>等法律法规</w:t>
      </w:r>
      <w:r>
        <w:rPr>
          <w:rFonts w:hint="default" w:ascii="宋体" w:hAnsi="宋体" w:eastAsia="仿宋_GB2312" w:cs="Times New Roman"/>
          <w:kern w:val="2"/>
          <w:sz w:val="32"/>
          <w:szCs w:val="32"/>
          <w:highlight w:val="none"/>
          <w:lang w:val="en-US" w:eastAsia="zh-CN" w:bidi="ar-SA"/>
        </w:rPr>
        <w:t>的行政处罚的，按照《中华人民共和国安全生产法》</w:t>
      </w:r>
      <w:r>
        <w:rPr>
          <w:rFonts w:hint="eastAsia" w:ascii="宋体" w:hAnsi="宋体" w:eastAsia="仿宋_GB2312" w:cs="Times New Roman"/>
          <w:kern w:val="2"/>
          <w:sz w:val="32"/>
          <w:szCs w:val="32"/>
          <w:highlight w:val="none"/>
          <w:lang w:val="en-US" w:eastAsia="zh-CN" w:bidi="ar-SA"/>
        </w:rPr>
        <w:t>等</w:t>
      </w:r>
      <w:r>
        <w:rPr>
          <w:rFonts w:hint="default" w:ascii="宋体" w:hAnsi="宋体" w:eastAsia="仿宋_GB2312" w:cs="Times New Roman"/>
          <w:kern w:val="2"/>
          <w:sz w:val="32"/>
          <w:szCs w:val="32"/>
          <w:highlight w:val="none"/>
          <w:lang w:val="en-US" w:eastAsia="zh-CN" w:bidi="ar-SA"/>
        </w:rPr>
        <w:t>有关规定吊销经营许可，经营权限终止，相应剩余年限经营权指标竞价款不予退还。</w:t>
      </w:r>
    </w:p>
    <w:p w14:paraId="5979AB4C">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六</w:t>
      </w:r>
      <w:r>
        <w:rPr>
          <w:rFonts w:hint="default" w:ascii="宋体" w:hAnsi="宋体" w:eastAsia="仿宋_GB2312" w:cs="Times New Roman"/>
          <w:kern w:val="2"/>
          <w:sz w:val="32"/>
          <w:szCs w:val="32"/>
          <w:highlight w:val="none"/>
          <w:lang w:val="en-US" w:eastAsia="zh-CN" w:bidi="ar-SA"/>
        </w:rPr>
        <w:t>）被依法撤销、注销或吊销《烟花爆竹经营（零售）许可证》的，经营权终止，已缴纳的剩余年限经营权指标竞价款不予退还。</w:t>
      </w:r>
    </w:p>
    <w:p w14:paraId="6247BE20">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七</w:t>
      </w:r>
      <w:r>
        <w:rPr>
          <w:rFonts w:hint="default" w:ascii="宋体" w:hAnsi="宋体" w:eastAsia="仿宋_GB2312" w:cs="Times New Roman"/>
          <w:kern w:val="2"/>
          <w:sz w:val="32"/>
          <w:szCs w:val="32"/>
          <w:highlight w:val="none"/>
          <w:lang w:val="en-US" w:eastAsia="zh-CN" w:bidi="ar-SA"/>
        </w:rPr>
        <w:t>）申请人（单位）隐瞒有关情况或者提供虚假材料进行</w:t>
      </w:r>
      <w:r>
        <w:rPr>
          <w:rFonts w:hint="eastAsia" w:ascii="宋体" w:hAnsi="宋体" w:eastAsia="仿宋_GB2312" w:cs="Times New Roman"/>
          <w:kern w:val="2"/>
          <w:sz w:val="32"/>
          <w:szCs w:val="32"/>
          <w:highlight w:val="none"/>
          <w:lang w:val="en-US" w:eastAsia="zh-CN" w:bidi="ar-SA"/>
        </w:rPr>
        <w:t>申请</w:t>
      </w:r>
      <w:r>
        <w:rPr>
          <w:rFonts w:hint="default" w:ascii="宋体" w:hAnsi="宋体" w:eastAsia="仿宋_GB2312" w:cs="Times New Roman"/>
          <w:kern w:val="2"/>
          <w:sz w:val="32"/>
          <w:szCs w:val="32"/>
          <w:highlight w:val="none"/>
          <w:lang w:val="en-US" w:eastAsia="zh-CN" w:bidi="ar-SA"/>
        </w:rPr>
        <w:t>报名的，或申请人（单位）以欺骗</w:t>
      </w:r>
      <w:r>
        <w:rPr>
          <w:rFonts w:hint="eastAsia" w:ascii="宋体" w:hAnsi="宋体" w:eastAsia="仿宋_GB2312" w:cs="Times New Roman"/>
          <w:kern w:val="2"/>
          <w:sz w:val="32"/>
          <w:szCs w:val="32"/>
          <w:highlight w:val="none"/>
          <w:lang w:val="en-US" w:eastAsia="zh-CN" w:bidi="ar-SA"/>
        </w:rPr>
        <w:t>、贿赂</w:t>
      </w:r>
      <w:r>
        <w:rPr>
          <w:rFonts w:hint="default" w:ascii="宋体" w:hAnsi="宋体" w:eastAsia="仿宋_GB2312" w:cs="Times New Roman"/>
          <w:kern w:val="2"/>
          <w:sz w:val="32"/>
          <w:szCs w:val="32"/>
          <w:highlight w:val="none"/>
          <w:lang w:val="en-US" w:eastAsia="zh-CN" w:bidi="ar-SA"/>
        </w:rPr>
        <w:t>等不正当手段取得烟花爆竹经营权指标的，依法撤销经营许可，经营权终止，相应剩余年限经营权指标竞价款不予退还，并依据《烟花爆竹经营许可实施办法》等相关法律法规进行处罚。</w:t>
      </w:r>
    </w:p>
    <w:p w14:paraId="20A03139">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八</w:t>
      </w:r>
      <w:r>
        <w:rPr>
          <w:rFonts w:hint="default" w:ascii="宋体" w:hAnsi="宋体" w:eastAsia="仿宋_GB2312" w:cs="Times New Roman"/>
          <w:kern w:val="2"/>
          <w:sz w:val="32"/>
          <w:szCs w:val="32"/>
          <w:highlight w:val="none"/>
          <w:lang w:val="en-US" w:eastAsia="zh-CN" w:bidi="ar-SA"/>
        </w:rPr>
        <w:t>）因法律、法规、规章修订、政策调整或公共利益需要，政府依法撤回、终止烟花爆竹零售经营权的，按照剩余经营期限比例退还经营权竞标价款（计算方式按日计算）。</w:t>
      </w:r>
    </w:p>
    <w:p w14:paraId="3E2EE449">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九</w:t>
      </w:r>
      <w:r>
        <w:rPr>
          <w:rFonts w:hint="default" w:ascii="宋体" w:hAnsi="宋体" w:eastAsia="仿宋_GB2312" w:cs="Times New Roman"/>
          <w:kern w:val="2"/>
          <w:sz w:val="32"/>
          <w:szCs w:val="32"/>
          <w:highlight w:val="none"/>
          <w:lang w:val="en-US" w:eastAsia="zh-CN" w:bidi="ar-SA"/>
        </w:rPr>
        <w:t>）因法律、法规、规章修订、安全技术标准更新，需要对经营场所升级改造的，由经营者自行落实整改、自行承担费用；拒不整改、整改不达标无法满足现行安全标准的，依法依规予以退出处置</w:t>
      </w:r>
      <w:r>
        <w:rPr>
          <w:rFonts w:hint="eastAsia" w:ascii="宋体" w:hAnsi="宋体" w:eastAsia="仿宋_GB2312" w:cs="Times New Roman"/>
          <w:kern w:val="2"/>
          <w:sz w:val="32"/>
          <w:szCs w:val="32"/>
          <w:highlight w:val="none"/>
          <w:lang w:val="en-US" w:eastAsia="zh-CN" w:bidi="ar-SA"/>
        </w:rPr>
        <w:t>。</w:t>
      </w:r>
    </w:p>
    <w:p w14:paraId="7E5A2A60">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eastAsia" w:ascii="宋体" w:hAnsi="宋体" w:eastAsia="仿宋_GB2312" w:cs="Times New Roman"/>
          <w:kern w:val="2"/>
          <w:sz w:val="32"/>
          <w:szCs w:val="32"/>
          <w:highlight w:val="none"/>
          <w:lang w:val="en-US" w:eastAsia="zh-CN" w:bidi="ar-SA"/>
        </w:rPr>
        <w:t>（十）</w:t>
      </w:r>
      <w:r>
        <w:rPr>
          <w:rFonts w:hint="default" w:ascii="宋体" w:hAnsi="宋体" w:eastAsia="仿宋_GB2312" w:cs="Times New Roman"/>
          <w:kern w:val="2"/>
          <w:sz w:val="32"/>
          <w:szCs w:val="32"/>
          <w:highlight w:val="none"/>
          <w:lang w:val="en-US" w:eastAsia="zh-CN" w:bidi="ar-SA"/>
        </w:rPr>
        <w:t>法律法规规定的其他事项。</w:t>
      </w:r>
    </w:p>
    <w:p w14:paraId="07AEFAC6">
      <w:pPr>
        <w:pStyle w:val="2"/>
        <w:keepNext w:val="0"/>
        <w:keepLines w:val="0"/>
        <w:pageBreakBefore w:val="0"/>
        <w:widowControl w:val="0"/>
        <w:kinsoku/>
        <w:wordWrap/>
        <w:overflowPunct/>
        <w:topLinePunct w:val="0"/>
        <w:autoSpaceDE/>
        <w:autoSpaceDN/>
        <w:bidi w:val="0"/>
        <w:spacing w:line="540" w:lineRule="exact"/>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五</w:t>
      </w:r>
      <w:r>
        <w:rPr>
          <w:rFonts w:hint="default" w:ascii="黑体" w:hAnsi="黑体" w:eastAsia="黑体" w:cs="黑体"/>
          <w:kern w:val="2"/>
          <w:sz w:val="32"/>
          <w:szCs w:val="32"/>
          <w:highlight w:val="none"/>
          <w:lang w:val="en-US" w:eastAsia="zh-CN" w:bidi="ar-SA"/>
        </w:rPr>
        <w:t>、其他事项</w:t>
      </w:r>
    </w:p>
    <w:p w14:paraId="37428F2C">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（一）竞得人（单位）的经营权指标不得出租、出借、转让。</w:t>
      </w:r>
    </w:p>
    <w:p w14:paraId="43717307">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（二）烟花爆竹经营期间，竞得人（单位）的主要负责人</w:t>
      </w:r>
      <w:r>
        <w:rPr>
          <w:rFonts w:hint="eastAsia" w:ascii="宋体" w:hAnsi="宋体" w:eastAsia="仿宋_GB2312" w:cs="Times New Roman"/>
          <w:kern w:val="2"/>
          <w:sz w:val="32"/>
          <w:szCs w:val="32"/>
          <w:highlight w:val="none"/>
          <w:lang w:val="en-US" w:eastAsia="zh-CN" w:bidi="ar-SA"/>
        </w:rPr>
        <w:t>因</w:t>
      </w:r>
      <w:r>
        <w:rPr>
          <w:rFonts w:hint="default" w:ascii="宋体" w:hAnsi="宋体" w:eastAsia="仿宋_GB2312" w:cs="Times New Roman"/>
          <w:kern w:val="2"/>
          <w:sz w:val="32"/>
          <w:szCs w:val="32"/>
          <w:highlight w:val="none"/>
          <w:lang w:val="en-US" w:eastAsia="zh-CN" w:bidi="ar-SA"/>
        </w:rPr>
        <w:t>身亡等不可抗拒因素无法经营的，竞得人（单位）可由法定继承人继续经营或放弃经营权</w:t>
      </w:r>
      <w:r>
        <w:rPr>
          <w:rFonts w:hint="eastAsia" w:ascii="宋体" w:hAnsi="宋体" w:eastAsia="仿宋_GB2312" w:cs="Times New Roman"/>
          <w:kern w:val="2"/>
          <w:sz w:val="32"/>
          <w:szCs w:val="32"/>
          <w:highlight w:val="none"/>
          <w:lang w:val="en-US" w:eastAsia="zh-CN" w:bidi="ar-SA"/>
        </w:rPr>
        <w:t>。</w:t>
      </w:r>
      <w:r>
        <w:rPr>
          <w:rFonts w:hint="default" w:ascii="宋体" w:hAnsi="宋体" w:eastAsia="仿宋_GB2312" w:cs="Times New Roman"/>
          <w:kern w:val="2"/>
          <w:sz w:val="32"/>
          <w:szCs w:val="32"/>
          <w:highlight w:val="none"/>
          <w:lang w:val="en-US" w:eastAsia="zh-CN" w:bidi="ar-SA"/>
        </w:rPr>
        <w:t>由法定继承人继续经营的，其法定继承人取得烟花爆竹单位主要负责人资格后按有关法律法规规定执行</w:t>
      </w:r>
      <w:r>
        <w:rPr>
          <w:rFonts w:hint="eastAsia" w:ascii="宋体" w:hAnsi="宋体" w:eastAsia="仿宋_GB2312" w:cs="Times New Roman"/>
          <w:kern w:val="2"/>
          <w:sz w:val="32"/>
          <w:szCs w:val="32"/>
          <w:highlight w:val="none"/>
          <w:lang w:val="en-US" w:eastAsia="zh-CN" w:bidi="ar-SA"/>
        </w:rPr>
        <w:t>（变更营业执照、烟花爆竹经营（零售）许可证等）；自身原因放弃经营权的，剩余年限经营权竞价款不予退还。</w:t>
      </w:r>
    </w:p>
    <w:p w14:paraId="639BF8EE">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三）竞价工作遵循公平竞争的原则，竞价人（单位）需要提前熟悉烟花爆竹零售相关法律、法规、标准和文件要求并自行承担相应的市场风险。建议竞价人（单位）提前准备好符合要求的经营场地，以免因经营场地问题不能在规定时限取得烟花爆竹经营（零售）许可，丧失经营权指标，造成经济损失。</w:t>
      </w:r>
    </w:p>
    <w:p w14:paraId="2FFC41F5">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sz w:val="32"/>
          <w:szCs w:val="32"/>
          <w:highlight w:val="none"/>
          <w:lang w:val="en-US" w:eastAsia="zh-CN"/>
        </w:rPr>
      </w:pPr>
      <w:r>
        <w:rPr>
          <w:rFonts w:hint="default" w:ascii="宋体" w:hAnsi="宋体" w:eastAsia="仿宋_GB2312" w:cs="Times New Roman"/>
          <w:kern w:val="2"/>
          <w:sz w:val="32"/>
          <w:szCs w:val="32"/>
          <w:highlight w:val="none"/>
          <w:lang w:val="en-US" w:eastAsia="zh-CN" w:bidi="ar-SA"/>
        </w:rPr>
        <w:t>（四）</w:t>
      </w:r>
      <w:r>
        <w:rPr>
          <w:rFonts w:hint="default" w:ascii="宋体" w:hAnsi="宋体" w:eastAsia="仿宋_GB2312"/>
          <w:sz w:val="32"/>
          <w:szCs w:val="32"/>
          <w:highlight w:val="none"/>
          <w:lang w:val="en-US" w:eastAsia="zh-CN"/>
        </w:rPr>
        <w:t>现有</w:t>
      </w:r>
      <w:r>
        <w:rPr>
          <w:rFonts w:hint="eastAsia" w:ascii="宋体" w:hAnsi="宋体" w:eastAsia="仿宋_GB2312"/>
          <w:sz w:val="32"/>
          <w:szCs w:val="32"/>
          <w:highlight w:val="none"/>
          <w:lang w:val="en-US" w:eastAsia="zh-CN"/>
        </w:rPr>
        <w:t>烟花爆竹经营（零售）</w:t>
      </w:r>
      <w:r>
        <w:rPr>
          <w:rFonts w:hint="default" w:ascii="宋体" w:hAnsi="宋体" w:eastAsia="仿宋_GB2312"/>
          <w:sz w:val="32"/>
          <w:szCs w:val="32"/>
          <w:highlight w:val="none"/>
          <w:lang w:val="en-US" w:eastAsia="zh-CN"/>
        </w:rPr>
        <w:t>许可证</w:t>
      </w:r>
      <w:r>
        <w:rPr>
          <w:rFonts w:hint="eastAsia" w:ascii="宋体" w:hAnsi="宋体" w:eastAsia="仿宋_GB2312"/>
          <w:sz w:val="32"/>
          <w:szCs w:val="32"/>
          <w:highlight w:val="none"/>
          <w:lang w:val="en-US" w:eastAsia="zh-CN"/>
        </w:rPr>
        <w:t>仍在</w:t>
      </w:r>
      <w:r>
        <w:rPr>
          <w:rFonts w:hint="default" w:ascii="宋体" w:hAnsi="宋体" w:eastAsia="仿宋_GB2312"/>
          <w:sz w:val="32"/>
          <w:szCs w:val="32"/>
          <w:highlight w:val="none"/>
          <w:lang w:val="en-US" w:eastAsia="zh-CN"/>
        </w:rPr>
        <w:t>有效期</w:t>
      </w:r>
      <w:r>
        <w:rPr>
          <w:rFonts w:hint="eastAsia" w:ascii="宋体" w:hAnsi="宋体" w:eastAsia="仿宋_GB2312"/>
          <w:sz w:val="32"/>
          <w:szCs w:val="32"/>
          <w:highlight w:val="none"/>
          <w:lang w:val="en-US" w:eastAsia="zh-CN"/>
        </w:rPr>
        <w:t>内的</w:t>
      </w:r>
      <w:r>
        <w:rPr>
          <w:rFonts w:hint="default" w:ascii="宋体" w:hAnsi="宋体" w:eastAsia="仿宋_GB2312"/>
          <w:sz w:val="32"/>
          <w:szCs w:val="32"/>
          <w:highlight w:val="none"/>
          <w:lang w:val="en-US" w:eastAsia="zh-CN"/>
        </w:rPr>
        <w:t>零售店（点）</w:t>
      </w:r>
      <w:r>
        <w:rPr>
          <w:rFonts w:hint="eastAsia" w:ascii="宋体" w:hAnsi="宋体" w:eastAsia="仿宋_GB2312"/>
          <w:sz w:val="32"/>
          <w:szCs w:val="32"/>
          <w:highlight w:val="none"/>
          <w:lang w:val="en-US" w:eastAsia="zh-CN"/>
        </w:rPr>
        <w:t>参与竞价并成功的，原许可证未注销前不得申请竞价经营权点位的烟花爆竹经营（零售）许可。</w:t>
      </w:r>
    </w:p>
    <w:p w14:paraId="444B7017">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eastAsia" w:ascii="宋体" w:hAnsi="宋体" w:eastAsia="仿宋_GB2312"/>
          <w:sz w:val="32"/>
          <w:szCs w:val="32"/>
          <w:highlight w:val="none"/>
          <w:lang w:val="en-US" w:eastAsia="zh-CN"/>
        </w:rPr>
        <w:t>（五）</w:t>
      </w:r>
      <w:r>
        <w:rPr>
          <w:rFonts w:hint="default" w:ascii="宋体" w:hAnsi="宋体" w:eastAsia="仿宋_GB2312" w:cs="Times New Roman"/>
          <w:kern w:val="2"/>
          <w:sz w:val="32"/>
          <w:szCs w:val="32"/>
          <w:highlight w:val="none"/>
          <w:lang w:val="en-US" w:eastAsia="zh-CN" w:bidi="ar-SA"/>
        </w:rPr>
        <w:t>烟花爆竹零售经营需承担多项安全投入，主要包含主要负责人及安全管理人员培训考核、设施设备、安全责任保险等。请参与竞拍的个人或单位充分评估自身条件，慎重考量、量力参与竞拍。</w:t>
      </w:r>
    </w:p>
    <w:p w14:paraId="4C39B167">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六</w:t>
      </w:r>
      <w:r>
        <w:rPr>
          <w:rFonts w:hint="default" w:ascii="宋体" w:hAnsi="宋体" w:eastAsia="仿宋_GB2312" w:cs="Times New Roman"/>
          <w:kern w:val="2"/>
          <w:sz w:val="32"/>
          <w:szCs w:val="32"/>
          <w:highlight w:val="none"/>
          <w:lang w:val="en-US" w:eastAsia="zh-CN" w:bidi="ar-SA"/>
        </w:rPr>
        <w:t>）</w:t>
      </w:r>
      <w:r>
        <w:rPr>
          <w:rFonts w:hint="eastAsia" w:ascii="宋体" w:hAnsi="宋体" w:eastAsia="仿宋_GB2312" w:cs="Times New Roman"/>
          <w:kern w:val="2"/>
          <w:sz w:val="32"/>
          <w:szCs w:val="32"/>
          <w:highlight w:val="none"/>
          <w:lang w:val="en-US" w:eastAsia="zh-CN" w:bidi="ar-SA"/>
        </w:rPr>
        <w:t>经营许可证到期或依法撤销、注销或吊销的，应立即停止经营活动，剩余合格产品按原渠道退回。</w:t>
      </w:r>
    </w:p>
    <w:p w14:paraId="5CBB7659">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eastAsia" w:ascii="宋体" w:hAnsi="宋体" w:eastAsia="仿宋_GB2312" w:cs="Times New Roman"/>
          <w:kern w:val="2"/>
          <w:sz w:val="32"/>
          <w:szCs w:val="32"/>
          <w:highlight w:val="none"/>
          <w:lang w:val="en-US" w:eastAsia="zh-CN" w:bidi="ar-SA"/>
        </w:rPr>
        <w:t>执行过程中</w:t>
      </w:r>
      <w:r>
        <w:rPr>
          <w:rFonts w:hint="default" w:ascii="宋体" w:hAnsi="宋体" w:eastAsia="仿宋_GB2312" w:cs="Times New Roman"/>
          <w:kern w:val="2"/>
          <w:sz w:val="32"/>
          <w:szCs w:val="32"/>
          <w:highlight w:val="none"/>
          <w:lang w:val="en-US" w:eastAsia="zh-CN" w:bidi="ar-SA"/>
        </w:rPr>
        <w:t>遇到的问题，由市应急管理局牵头负责解释和跟进处理工作。</w:t>
      </w:r>
    </w:p>
    <w:p w14:paraId="49BA2D88">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 xml:space="preserve"> </w:t>
      </w:r>
    </w:p>
    <w:p w14:paraId="2476E1DB">
      <w:pPr>
        <w:pStyle w:val="2"/>
        <w:keepNext w:val="0"/>
        <w:keepLines w:val="0"/>
        <w:pageBreakBefore w:val="0"/>
        <w:widowControl w:val="0"/>
        <w:kinsoku/>
        <w:wordWrap/>
        <w:overflowPunct/>
        <w:topLinePunct w:val="0"/>
        <w:autoSpaceDE/>
        <w:autoSpaceDN/>
        <w:bidi w:val="0"/>
        <w:spacing w:line="540" w:lineRule="exact"/>
        <w:textAlignment w:val="auto"/>
        <w:rPr>
          <w:rFonts w:hint="default" w:ascii="宋体" w:hAnsi="宋体" w:eastAsia="仿宋_GB2312" w:cs="Times New Roman"/>
          <w:kern w:val="2"/>
          <w:sz w:val="32"/>
          <w:szCs w:val="32"/>
          <w:highlight w:val="none"/>
          <w:lang w:val="en-US" w:eastAsia="zh-CN" w:bidi="ar-SA"/>
        </w:rPr>
      </w:pPr>
      <w:r>
        <w:rPr>
          <w:rFonts w:hint="default" w:ascii="宋体" w:hAnsi="宋体" w:eastAsia="仿宋_GB2312" w:cs="Times New Roman"/>
          <w:kern w:val="2"/>
          <w:sz w:val="32"/>
          <w:szCs w:val="32"/>
          <w:highlight w:val="none"/>
          <w:lang w:val="en-US" w:eastAsia="zh-CN" w:bidi="ar-SA"/>
        </w:rPr>
        <w:t>附件：</w:t>
      </w:r>
      <w:r>
        <w:rPr>
          <w:rFonts w:hint="eastAsia" w:ascii="宋体" w:hAnsi="宋体" w:eastAsia="仿宋_GB2312" w:cs="Times New Roman"/>
          <w:kern w:val="2"/>
          <w:sz w:val="32"/>
          <w:szCs w:val="32"/>
          <w:highlight w:val="none"/>
          <w:lang w:val="en-US" w:eastAsia="zh-CN" w:bidi="ar-SA"/>
        </w:rPr>
        <w:t>恩平</w:t>
      </w:r>
      <w:r>
        <w:rPr>
          <w:rFonts w:hint="default" w:ascii="宋体" w:hAnsi="宋体" w:eastAsia="仿宋_GB2312" w:cs="Times New Roman"/>
          <w:kern w:val="2"/>
          <w:sz w:val="32"/>
          <w:szCs w:val="32"/>
          <w:highlight w:val="none"/>
          <w:lang w:val="en-US" w:eastAsia="zh-CN" w:bidi="ar-SA"/>
        </w:rPr>
        <w:t>市烟花爆竹零售经营单元及服务范围分布表</w:t>
      </w:r>
    </w:p>
    <w:p w14:paraId="4C2494EC">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default" w:ascii="宋体" w:hAnsi="宋体" w:eastAsia="仿宋_GB2312" w:cs="Times New Roman"/>
          <w:kern w:val="2"/>
          <w:sz w:val="32"/>
          <w:szCs w:val="32"/>
          <w:highlight w:val="none"/>
          <w:lang w:val="en-US" w:eastAsia="zh-CN" w:bidi="ar-SA"/>
        </w:rPr>
      </w:pPr>
    </w:p>
    <w:p w14:paraId="49ABD166">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default" w:ascii="宋体" w:hAnsi="宋体" w:eastAsia="仿宋_GB2312" w:cs="Times New Roman"/>
          <w:kern w:val="2"/>
          <w:sz w:val="32"/>
          <w:szCs w:val="32"/>
          <w:highlight w:val="none"/>
          <w:lang w:val="en-US" w:eastAsia="zh-CN" w:bidi="ar-SA"/>
        </w:rPr>
      </w:pPr>
    </w:p>
    <w:p w14:paraId="7BD4B487">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default" w:ascii="宋体" w:hAnsi="宋体" w:eastAsia="仿宋_GB2312" w:cs="Times New Roman"/>
          <w:kern w:val="2"/>
          <w:sz w:val="32"/>
          <w:szCs w:val="32"/>
          <w:highlight w:val="none"/>
          <w:lang w:val="en-US" w:eastAsia="zh-CN" w:bidi="ar-SA"/>
        </w:rPr>
      </w:pPr>
    </w:p>
    <w:p w14:paraId="5F188049">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default" w:ascii="宋体" w:hAnsi="宋体" w:eastAsia="仿宋_GB2312" w:cs="Times New Roman"/>
          <w:kern w:val="2"/>
          <w:sz w:val="32"/>
          <w:szCs w:val="32"/>
          <w:highlight w:val="none"/>
          <w:lang w:val="en-US" w:eastAsia="zh-CN" w:bidi="ar-SA"/>
        </w:rPr>
        <w:sectPr>
          <w:headerReference r:id="rId5" w:type="default"/>
          <w:footerReference r:id="rId6" w:type="default"/>
          <w:pgSz w:w="11906" w:h="16838"/>
          <w:pgMar w:top="1928" w:right="1418" w:bottom="1814" w:left="1588" w:header="1361" w:footer="1276" w:gutter="0"/>
          <w:pgNumType w:fmt="decimal" w:start="1"/>
          <w:cols w:space="0" w:num="1"/>
          <w:rtlGutter w:val="0"/>
          <w:docGrid w:type="linesAndChars" w:linePitch="592" w:charSpace="-439"/>
        </w:sectPr>
      </w:pPr>
    </w:p>
    <w:p w14:paraId="24471754">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w:t>
      </w:r>
    </w:p>
    <w:p w14:paraId="7DC85DFB">
      <w:pPr>
        <w:pStyle w:val="2"/>
        <w:keepNext w:val="0"/>
        <w:keepLines w:val="0"/>
        <w:pageBreakBefore w:val="0"/>
        <w:widowControl w:val="0"/>
        <w:kinsoku/>
        <w:wordWrap/>
        <w:overflowPunct/>
        <w:topLinePunct w:val="0"/>
        <w:autoSpaceDE/>
        <w:autoSpaceDN/>
        <w:bidi w:val="0"/>
        <w:spacing w:line="560" w:lineRule="exact"/>
        <w:ind w:left="0" w:leftChars="0" w:firstLine="0" w:firstLineChars="0"/>
        <w:jc w:val="center"/>
        <w:textAlignment w:val="auto"/>
        <w:rPr>
          <w:rFonts w:hint="eastAsia" w:ascii="方正小标宋简体" w:hAnsi="方正小标宋简体" w:eastAsia="方正小标宋简体" w:cs="方正小标宋简体"/>
          <w:kern w:val="2"/>
          <w:sz w:val="44"/>
          <w:szCs w:val="44"/>
          <w:highlight w:val="none"/>
          <w:lang w:val="en-US" w:eastAsia="zh-CN" w:bidi="ar-SA"/>
        </w:rPr>
      </w:pPr>
      <w:r>
        <w:rPr>
          <w:rFonts w:hint="eastAsia" w:ascii="方正小标宋简体" w:hAnsi="方正小标宋简体" w:eastAsia="方正小标宋简体" w:cs="方正小标宋简体"/>
          <w:kern w:val="2"/>
          <w:sz w:val="44"/>
          <w:szCs w:val="44"/>
          <w:highlight w:val="none"/>
          <w:lang w:val="en-US" w:eastAsia="zh-CN" w:bidi="ar-SA"/>
        </w:rPr>
        <w:t>恩平市烟花爆竹零售经营单元及服务范围分布表</w:t>
      </w:r>
    </w:p>
    <w:p w14:paraId="2F1A3349">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default" w:ascii="宋体" w:hAnsi="宋体" w:eastAsia="仿宋_GB2312" w:cs="Times New Roman"/>
          <w:kern w:val="2"/>
          <w:sz w:val="32"/>
          <w:szCs w:val="32"/>
          <w:highlight w:val="none"/>
          <w:lang w:val="en-US" w:eastAsia="zh-CN" w:bidi="ar-SA"/>
        </w:rPr>
      </w:pPr>
    </w:p>
    <w:tbl>
      <w:tblPr>
        <w:tblStyle w:val="22"/>
        <w:tblW w:w="13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5"/>
        <w:gridCol w:w="2016"/>
        <w:gridCol w:w="5419"/>
        <w:gridCol w:w="1687"/>
        <w:gridCol w:w="2134"/>
      </w:tblGrid>
      <w:tr w14:paraId="5C59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Align w:val="center"/>
          </w:tcPr>
          <w:p w14:paraId="4F162B4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镇（街）</w:t>
            </w:r>
          </w:p>
        </w:tc>
        <w:tc>
          <w:tcPr>
            <w:tcW w:w="2016" w:type="dxa"/>
            <w:vAlign w:val="center"/>
          </w:tcPr>
          <w:p w14:paraId="2098E7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单元</w:t>
            </w:r>
          </w:p>
        </w:tc>
        <w:tc>
          <w:tcPr>
            <w:tcW w:w="5419" w:type="dxa"/>
            <w:vAlign w:val="center"/>
          </w:tcPr>
          <w:p w14:paraId="7E596C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布点区域（四至范围）</w:t>
            </w:r>
          </w:p>
        </w:tc>
        <w:tc>
          <w:tcPr>
            <w:tcW w:w="1687" w:type="dxa"/>
            <w:vAlign w:val="center"/>
          </w:tcPr>
          <w:p w14:paraId="3C3638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计划布点数量/个</w:t>
            </w:r>
          </w:p>
        </w:tc>
        <w:tc>
          <w:tcPr>
            <w:tcW w:w="2134" w:type="dxa"/>
            <w:vAlign w:val="center"/>
          </w:tcPr>
          <w:p w14:paraId="1244E5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竞价时间</w:t>
            </w:r>
          </w:p>
        </w:tc>
      </w:tr>
      <w:tr w14:paraId="72B2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restart"/>
            <w:vAlign w:val="center"/>
          </w:tcPr>
          <w:p w14:paraId="31A412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恩城街道</w:t>
            </w:r>
          </w:p>
        </w:tc>
        <w:tc>
          <w:tcPr>
            <w:tcW w:w="2016" w:type="dxa"/>
            <w:vAlign w:val="center"/>
          </w:tcPr>
          <w:p w14:paraId="052603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1</w:t>
            </w:r>
            <w:r>
              <w:rPr>
                <w:rFonts w:hint="eastAsia" w:ascii="仿宋_GB2312" w:eastAsia="仿宋_GB2312"/>
                <w:sz w:val="32"/>
                <w:szCs w:val="32"/>
                <w:highlight w:val="none"/>
                <w:lang w:val="en-US" w:eastAsia="zh-CN"/>
              </w:rPr>
              <w:t>号单元</w:t>
            </w:r>
          </w:p>
          <w:p w14:paraId="5A2FB1F8">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23ECB4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塘劳、禄平、新楼村委会辖区</w:t>
            </w:r>
          </w:p>
        </w:tc>
        <w:tc>
          <w:tcPr>
            <w:tcW w:w="1687" w:type="dxa"/>
            <w:vAlign w:val="center"/>
          </w:tcPr>
          <w:p w14:paraId="0B0253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748B30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4029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continue"/>
            <w:vAlign w:val="center"/>
          </w:tcPr>
          <w:p w14:paraId="4657DC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7BC0FD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2</w:t>
            </w:r>
            <w:r>
              <w:rPr>
                <w:rFonts w:hint="eastAsia" w:ascii="仿宋_GB2312" w:eastAsia="仿宋_GB2312"/>
                <w:sz w:val="32"/>
                <w:szCs w:val="32"/>
                <w:highlight w:val="none"/>
                <w:lang w:val="en-US" w:eastAsia="zh-CN"/>
              </w:rPr>
              <w:t>号单元</w:t>
            </w:r>
          </w:p>
          <w:p w14:paraId="22C06D09">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6D8752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联合、西安、沙联村委会辖区</w:t>
            </w:r>
          </w:p>
        </w:tc>
        <w:tc>
          <w:tcPr>
            <w:tcW w:w="1687" w:type="dxa"/>
            <w:vAlign w:val="center"/>
          </w:tcPr>
          <w:p w14:paraId="62E323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050A2E0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5302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continue"/>
            <w:vAlign w:val="center"/>
          </w:tcPr>
          <w:p w14:paraId="68C92D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28838E9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3</w:t>
            </w:r>
            <w:r>
              <w:rPr>
                <w:rFonts w:hint="eastAsia" w:ascii="仿宋_GB2312" w:eastAsia="仿宋_GB2312"/>
                <w:sz w:val="32"/>
                <w:szCs w:val="32"/>
                <w:highlight w:val="none"/>
                <w:lang w:val="en-US" w:eastAsia="zh-CN"/>
              </w:rPr>
              <w:t>号单元</w:t>
            </w:r>
          </w:p>
          <w:p w14:paraId="26F27531">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1138C5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茶坑村委会辖区</w:t>
            </w:r>
          </w:p>
        </w:tc>
        <w:tc>
          <w:tcPr>
            <w:tcW w:w="1687" w:type="dxa"/>
            <w:vAlign w:val="center"/>
          </w:tcPr>
          <w:p w14:paraId="2034FA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0C99C1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3CE4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continue"/>
            <w:vAlign w:val="center"/>
          </w:tcPr>
          <w:p w14:paraId="575B79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396B7B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4</w:t>
            </w:r>
            <w:r>
              <w:rPr>
                <w:rFonts w:hint="eastAsia" w:ascii="仿宋_GB2312" w:eastAsia="仿宋_GB2312"/>
                <w:b/>
                <w:bCs/>
                <w:sz w:val="32"/>
                <w:szCs w:val="32"/>
                <w:highlight w:val="none"/>
                <w:lang w:val="en-US" w:eastAsia="zh-CN"/>
              </w:rPr>
              <w:t>号单元</w:t>
            </w:r>
          </w:p>
          <w:p w14:paraId="6291BD27">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b/>
                <w:bCs/>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3E5846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中南、米仓、南联村委会辖区</w:t>
            </w:r>
          </w:p>
        </w:tc>
        <w:tc>
          <w:tcPr>
            <w:tcW w:w="1687" w:type="dxa"/>
            <w:vAlign w:val="center"/>
          </w:tcPr>
          <w:p w14:paraId="513C632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15260A4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5F16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continue"/>
            <w:vAlign w:val="center"/>
          </w:tcPr>
          <w:p w14:paraId="6DD3B3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649C38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5</w:t>
            </w:r>
            <w:r>
              <w:rPr>
                <w:rFonts w:hint="eastAsia" w:ascii="仿宋_GB2312" w:eastAsia="仿宋_GB2312"/>
                <w:sz w:val="32"/>
                <w:szCs w:val="32"/>
                <w:highlight w:val="none"/>
                <w:lang w:val="en-US" w:eastAsia="zh-CN"/>
              </w:rPr>
              <w:t>号单元</w:t>
            </w:r>
          </w:p>
          <w:p w14:paraId="3D7A41EE">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229E9D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石泉、石联村委会辖区</w:t>
            </w:r>
          </w:p>
        </w:tc>
        <w:tc>
          <w:tcPr>
            <w:tcW w:w="1687" w:type="dxa"/>
            <w:vAlign w:val="center"/>
          </w:tcPr>
          <w:p w14:paraId="72E8A0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1F0FF9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09A4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continue"/>
            <w:vAlign w:val="center"/>
          </w:tcPr>
          <w:p w14:paraId="09FA40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5B94FAA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6</w:t>
            </w:r>
            <w:r>
              <w:rPr>
                <w:rFonts w:hint="eastAsia" w:ascii="仿宋_GB2312" w:eastAsia="仿宋_GB2312"/>
                <w:b/>
                <w:bCs/>
                <w:sz w:val="32"/>
                <w:szCs w:val="32"/>
                <w:highlight w:val="none"/>
                <w:lang w:val="en-US" w:eastAsia="zh-CN"/>
              </w:rPr>
              <w:t>号单元</w:t>
            </w:r>
          </w:p>
          <w:p w14:paraId="3DE6F7CD">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b/>
                <w:bCs/>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47D37A7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石栏、石青村委会辖区</w:t>
            </w:r>
          </w:p>
        </w:tc>
        <w:tc>
          <w:tcPr>
            <w:tcW w:w="1687" w:type="dxa"/>
            <w:vAlign w:val="center"/>
          </w:tcPr>
          <w:p w14:paraId="76CAF6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50952A2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76CC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5" w:type="dxa"/>
            <w:vMerge w:val="continue"/>
            <w:vAlign w:val="center"/>
          </w:tcPr>
          <w:p w14:paraId="76924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095592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7</w:t>
            </w:r>
            <w:r>
              <w:rPr>
                <w:rFonts w:hint="eastAsia" w:ascii="仿宋_GB2312" w:eastAsia="仿宋_GB2312"/>
                <w:sz w:val="32"/>
                <w:szCs w:val="32"/>
                <w:highlight w:val="none"/>
                <w:lang w:val="en-US" w:eastAsia="zh-CN"/>
              </w:rPr>
              <w:t>号单元</w:t>
            </w:r>
          </w:p>
          <w:p w14:paraId="10B9D4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3AA7D5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平塘、锦岗、顶冲、平富岗村委会辖区</w:t>
            </w:r>
          </w:p>
        </w:tc>
        <w:tc>
          <w:tcPr>
            <w:tcW w:w="1687" w:type="dxa"/>
            <w:vAlign w:val="center"/>
          </w:tcPr>
          <w:p w14:paraId="36B315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55226DF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3078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restart"/>
            <w:vAlign w:val="center"/>
          </w:tcPr>
          <w:p w14:paraId="7DE4626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沙湖镇</w:t>
            </w:r>
          </w:p>
        </w:tc>
        <w:tc>
          <w:tcPr>
            <w:tcW w:w="2016" w:type="dxa"/>
            <w:vAlign w:val="center"/>
          </w:tcPr>
          <w:p w14:paraId="23C2AB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8</w:t>
            </w:r>
            <w:r>
              <w:rPr>
                <w:rFonts w:hint="eastAsia" w:ascii="仿宋_GB2312" w:eastAsia="仿宋_GB2312"/>
                <w:sz w:val="32"/>
                <w:szCs w:val="32"/>
                <w:highlight w:val="none"/>
                <w:lang w:val="en-US" w:eastAsia="zh-CN"/>
              </w:rPr>
              <w:t>号单元</w:t>
            </w:r>
          </w:p>
          <w:p w14:paraId="5FCF13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2FC43F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FF0000"/>
                <w:sz w:val="32"/>
                <w:szCs w:val="32"/>
                <w:highlight w:val="none"/>
                <w:lang w:val="en-US" w:eastAsia="zh-CN"/>
              </w:rPr>
            </w:pPr>
            <w:r>
              <w:rPr>
                <w:rFonts w:hint="eastAsia" w:ascii="仿宋_GB2312" w:eastAsia="仿宋_GB2312"/>
                <w:sz w:val="32"/>
                <w:szCs w:val="32"/>
                <w:highlight w:val="none"/>
                <w:lang w:val="en-US" w:eastAsia="zh-CN"/>
              </w:rPr>
              <w:t>南坑、浴水、那梨、伍边、李边、南闸、咀厚村委会辖区</w:t>
            </w:r>
          </w:p>
        </w:tc>
        <w:tc>
          <w:tcPr>
            <w:tcW w:w="1687" w:type="dxa"/>
            <w:vAlign w:val="center"/>
          </w:tcPr>
          <w:p w14:paraId="0B1F3C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7E88A3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038F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523D55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p>
        </w:tc>
        <w:tc>
          <w:tcPr>
            <w:tcW w:w="2016" w:type="dxa"/>
            <w:vAlign w:val="center"/>
          </w:tcPr>
          <w:p w14:paraId="1CF199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9</w:t>
            </w:r>
            <w:r>
              <w:rPr>
                <w:rFonts w:hint="eastAsia" w:ascii="仿宋_GB2312" w:eastAsia="仿宋_GB2312"/>
                <w:b/>
                <w:bCs/>
                <w:sz w:val="32"/>
                <w:szCs w:val="32"/>
                <w:highlight w:val="none"/>
                <w:lang w:val="en-US" w:eastAsia="zh-CN"/>
              </w:rPr>
              <w:t>号单元</w:t>
            </w:r>
          </w:p>
          <w:p w14:paraId="2E0970A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23B9C4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圩镇社区居委会、圣园、和平、横陂、下凯、上凯、高园、南平、水楼村委会辖区</w:t>
            </w:r>
          </w:p>
        </w:tc>
        <w:tc>
          <w:tcPr>
            <w:tcW w:w="1687" w:type="dxa"/>
            <w:vAlign w:val="center"/>
          </w:tcPr>
          <w:p w14:paraId="304115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6AC716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b/>
                <w:bCs/>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679D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492448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50977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10</w:t>
            </w:r>
            <w:r>
              <w:rPr>
                <w:rFonts w:hint="eastAsia" w:ascii="仿宋_GB2312" w:eastAsia="仿宋_GB2312"/>
                <w:sz w:val="32"/>
                <w:szCs w:val="32"/>
                <w:highlight w:val="none"/>
                <w:lang w:val="en-US" w:eastAsia="zh-CN"/>
              </w:rPr>
              <w:t>号单元</w:t>
            </w:r>
          </w:p>
          <w:p w14:paraId="305E1BE4">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57BFDA8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乌石、关村、成平、扁冲、南塘、东岸村委会辖区</w:t>
            </w:r>
          </w:p>
        </w:tc>
        <w:tc>
          <w:tcPr>
            <w:tcW w:w="1687" w:type="dxa"/>
            <w:vAlign w:val="center"/>
          </w:tcPr>
          <w:p w14:paraId="2BBB3CF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1CA663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49E5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restart"/>
            <w:vAlign w:val="center"/>
          </w:tcPr>
          <w:p w14:paraId="485E02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Times New Roman" w:eastAsia="仿宋_GB2312" w:cs="Times New Roman"/>
                <w:sz w:val="32"/>
                <w:szCs w:val="32"/>
                <w:highlight w:val="none"/>
              </w:rPr>
            </w:pPr>
            <w:r>
              <w:rPr>
                <w:rFonts w:ascii="仿宋_GB2312" w:hAnsi="Times New Roman" w:eastAsia="仿宋_GB2312" w:cs="Times New Roman"/>
                <w:sz w:val="32"/>
                <w:szCs w:val="32"/>
                <w:highlight w:val="none"/>
              </w:rPr>
              <w:t>牛江镇</w:t>
            </w:r>
          </w:p>
        </w:tc>
        <w:tc>
          <w:tcPr>
            <w:tcW w:w="2016" w:type="dxa"/>
            <w:vAlign w:val="center"/>
          </w:tcPr>
          <w:p w14:paraId="2A3C0DA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lang w:val="en-US" w:eastAsia="zh-CN"/>
              </w:rPr>
              <w:t>11</w:t>
            </w:r>
            <w:r>
              <w:rPr>
                <w:rFonts w:hint="eastAsia" w:ascii="仿宋_GB2312" w:eastAsia="仿宋_GB2312"/>
                <w:b w:val="0"/>
                <w:bCs w:val="0"/>
                <w:sz w:val="32"/>
                <w:szCs w:val="32"/>
                <w:highlight w:val="none"/>
                <w:lang w:val="en-US" w:eastAsia="zh-CN"/>
              </w:rPr>
              <w:t>号单元</w:t>
            </w:r>
          </w:p>
          <w:p w14:paraId="60205B3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sz w:val="32"/>
                <w:szCs w:val="32"/>
                <w:highlight w:val="none"/>
                <w:lang w:val="en-US" w:eastAsia="zh-CN"/>
              </w:rPr>
            </w:pPr>
            <w:r>
              <w:rPr>
                <w:rFonts w:hint="eastAsia" w:ascii="仿宋_GB2312" w:eastAsia="仿宋_GB2312"/>
                <w:b w:val="0"/>
                <w:bCs w:val="0"/>
                <w:sz w:val="32"/>
                <w:szCs w:val="32"/>
                <w:highlight w:val="none"/>
                <w:lang w:val="en-US" w:eastAsia="zh-CN"/>
              </w:rPr>
              <w:t>（短期点）</w:t>
            </w:r>
          </w:p>
        </w:tc>
        <w:tc>
          <w:tcPr>
            <w:tcW w:w="5419" w:type="dxa"/>
            <w:vAlign w:val="center"/>
          </w:tcPr>
          <w:p w14:paraId="519AE6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sz w:val="32"/>
                <w:szCs w:val="32"/>
                <w:highlight w:val="none"/>
                <w:lang w:val="en-US" w:eastAsia="zh-CN"/>
              </w:rPr>
            </w:pPr>
            <w:r>
              <w:rPr>
                <w:rFonts w:hint="eastAsia" w:ascii="仿宋_GB2312" w:eastAsia="仿宋_GB2312"/>
                <w:b w:val="0"/>
                <w:bCs w:val="0"/>
                <w:sz w:val="32"/>
                <w:szCs w:val="32"/>
                <w:highlight w:val="none"/>
                <w:lang w:val="en-US" w:eastAsia="zh-CN"/>
              </w:rPr>
              <w:t>岭南、龙湾、横眉、梨园、高联、莲塘、黄泥坦</w:t>
            </w:r>
            <w:r>
              <w:rPr>
                <w:rFonts w:hint="eastAsia" w:ascii="仿宋_GB2312" w:eastAsia="仿宋_GB2312"/>
                <w:sz w:val="32"/>
                <w:szCs w:val="32"/>
                <w:highlight w:val="none"/>
                <w:lang w:val="en-US" w:eastAsia="zh-CN"/>
              </w:rPr>
              <w:t>辖区</w:t>
            </w:r>
          </w:p>
        </w:tc>
        <w:tc>
          <w:tcPr>
            <w:tcW w:w="1687" w:type="dxa"/>
            <w:vAlign w:val="center"/>
          </w:tcPr>
          <w:p w14:paraId="7CF64F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vAlign w:val="center"/>
          </w:tcPr>
          <w:p w14:paraId="1187B45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0ED3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continue"/>
            <w:vAlign w:val="center"/>
          </w:tcPr>
          <w:p w14:paraId="1B2EF6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highlight w:val="none"/>
              </w:rPr>
            </w:pPr>
          </w:p>
        </w:tc>
        <w:tc>
          <w:tcPr>
            <w:tcW w:w="2016" w:type="dxa"/>
            <w:vAlign w:val="center"/>
          </w:tcPr>
          <w:p w14:paraId="2EE42B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1</w:t>
            </w:r>
            <w:r>
              <w:rPr>
                <w:rFonts w:hint="eastAsia" w:ascii="宋体" w:hAnsi="宋体" w:cs="宋体"/>
                <w:b/>
                <w:bCs/>
                <w:sz w:val="32"/>
                <w:szCs w:val="32"/>
                <w:highlight w:val="none"/>
                <w:lang w:val="en-US" w:eastAsia="zh-CN"/>
              </w:rPr>
              <w:t>2</w:t>
            </w:r>
            <w:r>
              <w:rPr>
                <w:rFonts w:hint="eastAsia" w:ascii="仿宋_GB2312" w:eastAsia="仿宋_GB2312"/>
                <w:b/>
                <w:bCs/>
                <w:sz w:val="32"/>
                <w:szCs w:val="32"/>
                <w:highlight w:val="none"/>
                <w:lang w:val="en-US" w:eastAsia="zh-CN"/>
              </w:rPr>
              <w:t>号单元</w:t>
            </w:r>
          </w:p>
          <w:p w14:paraId="60FFF8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2835A5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cs="Times New Roman"/>
                <w:b/>
                <w:bCs/>
                <w:sz w:val="32"/>
                <w:szCs w:val="32"/>
                <w:highlight w:val="none"/>
                <w:lang w:val="en-US" w:eastAsia="zh-CN"/>
              </w:rPr>
              <w:t>圩镇居委会、鹏昌、仕洞、莲华、昌梅、马龙塘村委会辖区</w:t>
            </w:r>
          </w:p>
        </w:tc>
        <w:tc>
          <w:tcPr>
            <w:tcW w:w="1687" w:type="dxa"/>
            <w:vAlign w:val="center"/>
          </w:tcPr>
          <w:p w14:paraId="79FF29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vAlign w:val="center"/>
          </w:tcPr>
          <w:p w14:paraId="589017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宋体" w:hAnsi="宋体" w:eastAsia="宋体" w:cs="宋体"/>
                <w:b/>
                <w:bCs/>
                <w:sz w:val="32"/>
                <w:szCs w:val="32"/>
                <w:highlight w:val="none"/>
                <w:u w:val="single"/>
                <w:lang w:val="en-US" w:eastAsia="zh-CN"/>
              </w:rPr>
              <w:t>2028</w:t>
            </w:r>
            <w:r>
              <w:rPr>
                <w:rFonts w:hint="eastAsia" w:ascii="黑体" w:hAnsi="黑体" w:eastAsia="黑体" w:cs="黑体"/>
                <w:b/>
                <w:bCs/>
                <w:sz w:val="32"/>
                <w:szCs w:val="32"/>
                <w:highlight w:val="none"/>
                <w:u w:val="single"/>
                <w:lang w:val="en-US" w:eastAsia="zh-CN"/>
              </w:rPr>
              <w:t>年第四季度</w:t>
            </w:r>
          </w:p>
        </w:tc>
      </w:tr>
      <w:tr w14:paraId="1BEB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restart"/>
            <w:vAlign w:val="center"/>
          </w:tcPr>
          <w:p w14:paraId="65CEA0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君堂镇</w:t>
            </w:r>
          </w:p>
        </w:tc>
        <w:tc>
          <w:tcPr>
            <w:tcW w:w="2016" w:type="dxa"/>
            <w:vAlign w:val="center"/>
          </w:tcPr>
          <w:p w14:paraId="74CFB0D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1</w:t>
            </w:r>
            <w:r>
              <w:rPr>
                <w:rFonts w:hint="eastAsia" w:ascii="宋体" w:hAnsi="宋体" w:cs="宋体"/>
                <w:b/>
                <w:bCs/>
                <w:sz w:val="32"/>
                <w:szCs w:val="32"/>
                <w:highlight w:val="none"/>
                <w:lang w:val="en-US" w:eastAsia="zh-CN"/>
              </w:rPr>
              <w:t>3</w:t>
            </w:r>
            <w:r>
              <w:rPr>
                <w:rFonts w:hint="eastAsia" w:ascii="仿宋_GB2312" w:eastAsia="仿宋_GB2312"/>
                <w:b/>
                <w:bCs/>
                <w:sz w:val="32"/>
                <w:szCs w:val="32"/>
                <w:highlight w:val="none"/>
                <w:lang w:val="en-US" w:eastAsia="zh-CN"/>
              </w:rPr>
              <w:t>号单元</w:t>
            </w:r>
          </w:p>
          <w:p w14:paraId="28CF76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297DDD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江洲圩居委会、太平、东北雁、永华、中安、沙冈、平安、西园、堡城村委会辖区</w:t>
            </w:r>
          </w:p>
        </w:tc>
        <w:tc>
          <w:tcPr>
            <w:tcW w:w="1687" w:type="dxa"/>
            <w:vAlign w:val="center"/>
          </w:tcPr>
          <w:p w14:paraId="38363D2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0DEDCC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1DD4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37A4AA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2F11A4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1</w:t>
            </w:r>
            <w:r>
              <w:rPr>
                <w:rFonts w:hint="eastAsia" w:ascii="宋体" w:hAnsi="宋体" w:cs="宋体"/>
                <w:sz w:val="32"/>
                <w:szCs w:val="32"/>
                <w:highlight w:val="none"/>
                <w:lang w:val="en-US" w:eastAsia="zh-CN"/>
              </w:rPr>
              <w:t>4</w:t>
            </w:r>
            <w:r>
              <w:rPr>
                <w:rFonts w:hint="eastAsia" w:ascii="仿宋_GB2312" w:eastAsia="仿宋_GB2312"/>
                <w:sz w:val="32"/>
                <w:szCs w:val="32"/>
                <w:highlight w:val="none"/>
                <w:lang w:val="en-US" w:eastAsia="zh-CN"/>
              </w:rPr>
              <w:t>号单元</w:t>
            </w:r>
          </w:p>
          <w:p w14:paraId="7CF0C8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4342E3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君堂圩居委会、新君、塘库、黎塘、新塘、潢步头村委会辖区</w:t>
            </w:r>
          </w:p>
        </w:tc>
        <w:tc>
          <w:tcPr>
            <w:tcW w:w="1687" w:type="dxa"/>
            <w:vAlign w:val="center"/>
          </w:tcPr>
          <w:p w14:paraId="3A4FA8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shd w:val="clear" w:color="auto" w:fill="auto"/>
            <w:vAlign w:val="center"/>
          </w:tcPr>
          <w:p w14:paraId="6F85B1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s="Times New Roman" w:asciiTheme="minorEastAsia" w:hAnsiTheme="minorEastAsia" w:eastAsiaTheme="minorEastAsia"/>
                <w:color w:val="auto"/>
                <w:kern w:val="2"/>
                <w:sz w:val="32"/>
                <w:szCs w:val="32"/>
                <w:highlight w:val="none"/>
                <w:lang w:val="en-US" w:eastAsia="zh-CN" w:bidi="ar-SA"/>
              </w:rPr>
            </w:pPr>
            <w:r>
              <w:rPr>
                <w:rFonts w:hint="eastAsia" w:ascii="宋体" w:hAnsi="宋体" w:eastAsia="宋体" w:cs="宋体"/>
                <w:b/>
                <w:bCs/>
                <w:sz w:val="32"/>
                <w:szCs w:val="32"/>
                <w:highlight w:val="none"/>
                <w:u w:val="single"/>
                <w:lang w:val="en-US" w:eastAsia="zh-CN"/>
              </w:rPr>
              <w:t>2028</w:t>
            </w:r>
            <w:r>
              <w:rPr>
                <w:rFonts w:hint="eastAsia" w:ascii="黑体" w:hAnsi="黑体" w:eastAsia="黑体" w:cs="黑体"/>
                <w:b/>
                <w:bCs/>
                <w:sz w:val="32"/>
                <w:szCs w:val="32"/>
                <w:highlight w:val="none"/>
                <w:u w:val="single"/>
                <w:lang w:val="en-US" w:eastAsia="zh-CN"/>
              </w:rPr>
              <w:t>年第四季度</w:t>
            </w:r>
          </w:p>
        </w:tc>
      </w:tr>
      <w:tr w14:paraId="0426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2B5BE36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624678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1</w:t>
            </w:r>
            <w:r>
              <w:rPr>
                <w:rFonts w:hint="eastAsia" w:ascii="宋体" w:hAnsi="宋体" w:cs="宋体"/>
                <w:sz w:val="32"/>
                <w:szCs w:val="32"/>
                <w:highlight w:val="none"/>
                <w:lang w:val="en-US" w:eastAsia="zh-CN"/>
              </w:rPr>
              <w:t>5</w:t>
            </w:r>
            <w:r>
              <w:rPr>
                <w:rFonts w:hint="eastAsia" w:ascii="仿宋_GB2312" w:eastAsia="仿宋_GB2312"/>
                <w:sz w:val="32"/>
                <w:szCs w:val="32"/>
                <w:highlight w:val="none"/>
                <w:lang w:val="en-US" w:eastAsia="zh-CN"/>
              </w:rPr>
              <w:t>号单元</w:t>
            </w:r>
          </w:p>
          <w:p w14:paraId="78AE1A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4E1308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大湾、清湖、琅哥、石潭、杨屋村委会辖区</w:t>
            </w:r>
          </w:p>
        </w:tc>
        <w:tc>
          <w:tcPr>
            <w:tcW w:w="1687" w:type="dxa"/>
            <w:vAlign w:val="center"/>
          </w:tcPr>
          <w:p w14:paraId="2E8F05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426A171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16E8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restart"/>
            <w:vAlign w:val="center"/>
          </w:tcPr>
          <w:p w14:paraId="552C8B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圣堂镇</w:t>
            </w:r>
          </w:p>
        </w:tc>
        <w:tc>
          <w:tcPr>
            <w:tcW w:w="2016" w:type="dxa"/>
            <w:vAlign w:val="center"/>
          </w:tcPr>
          <w:p w14:paraId="5BACBBB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1</w:t>
            </w:r>
            <w:r>
              <w:rPr>
                <w:rFonts w:hint="eastAsia" w:ascii="宋体" w:hAnsi="宋体" w:cs="宋体"/>
                <w:sz w:val="32"/>
                <w:szCs w:val="32"/>
                <w:highlight w:val="none"/>
                <w:lang w:val="en-US" w:eastAsia="zh-CN"/>
              </w:rPr>
              <w:t>6</w:t>
            </w:r>
            <w:r>
              <w:rPr>
                <w:rFonts w:hint="eastAsia" w:ascii="仿宋_GB2312" w:eastAsia="仿宋_GB2312"/>
                <w:sz w:val="32"/>
                <w:szCs w:val="32"/>
                <w:highlight w:val="none"/>
                <w:lang w:val="en-US" w:eastAsia="zh-CN"/>
              </w:rPr>
              <w:t>号单元</w:t>
            </w:r>
          </w:p>
          <w:p w14:paraId="6FC95BE4">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7DD4A6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三联、歇马、进职、长安、湴朗村委会辖区</w:t>
            </w:r>
          </w:p>
        </w:tc>
        <w:tc>
          <w:tcPr>
            <w:tcW w:w="1687" w:type="dxa"/>
            <w:vAlign w:val="center"/>
          </w:tcPr>
          <w:p w14:paraId="666BA1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4754342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1FA0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74106C4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784963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1</w:t>
            </w:r>
            <w:r>
              <w:rPr>
                <w:rFonts w:hint="eastAsia" w:ascii="宋体" w:hAnsi="宋体" w:cs="宋体"/>
                <w:sz w:val="32"/>
                <w:szCs w:val="32"/>
                <w:highlight w:val="none"/>
                <w:lang w:val="en-US" w:eastAsia="zh-CN"/>
              </w:rPr>
              <w:t>7</w:t>
            </w:r>
            <w:r>
              <w:rPr>
                <w:rFonts w:hint="eastAsia" w:ascii="仿宋_GB2312" w:eastAsia="仿宋_GB2312"/>
                <w:sz w:val="32"/>
                <w:szCs w:val="32"/>
                <w:highlight w:val="none"/>
                <w:lang w:val="en-US" w:eastAsia="zh-CN"/>
              </w:rPr>
              <w:t>号单元</w:t>
            </w:r>
          </w:p>
          <w:p w14:paraId="4653142B">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4F9ECD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三山、区村、水塘村委会辖区</w:t>
            </w:r>
          </w:p>
        </w:tc>
        <w:tc>
          <w:tcPr>
            <w:tcW w:w="1687" w:type="dxa"/>
            <w:vAlign w:val="center"/>
          </w:tcPr>
          <w:p w14:paraId="37E8210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19CA7E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u w:val="single"/>
                <w:lang w:val="en-US" w:eastAsia="zh-CN"/>
              </w:rPr>
              <w:t>2028</w:t>
            </w:r>
            <w:r>
              <w:rPr>
                <w:rFonts w:hint="eastAsia" w:ascii="黑体" w:hAnsi="黑体" w:eastAsia="黑体" w:cs="黑体"/>
                <w:b/>
                <w:bCs/>
                <w:sz w:val="32"/>
                <w:szCs w:val="32"/>
                <w:highlight w:val="none"/>
                <w:u w:val="single"/>
                <w:lang w:val="en-US" w:eastAsia="zh-CN"/>
              </w:rPr>
              <w:t>年第四季度</w:t>
            </w:r>
          </w:p>
        </w:tc>
      </w:tr>
      <w:tr w14:paraId="41EC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539E50F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2955D6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1</w:t>
            </w:r>
            <w:r>
              <w:rPr>
                <w:rFonts w:hint="eastAsia" w:ascii="宋体" w:hAnsi="宋体" w:cs="宋体"/>
                <w:b/>
                <w:bCs/>
                <w:sz w:val="32"/>
                <w:szCs w:val="32"/>
                <w:highlight w:val="none"/>
                <w:lang w:val="en-US" w:eastAsia="zh-CN"/>
              </w:rPr>
              <w:t>8</w:t>
            </w:r>
            <w:r>
              <w:rPr>
                <w:rFonts w:hint="eastAsia" w:ascii="仿宋_GB2312" w:eastAsia="仿宋_GB2312"/>
                <w:b/>
                <w:bCs/>
                <w:sz w:val="32"/>
                <w:szCs w:val="32"/>
                <w:highlight w:val="none"/>
                <w:lang w:val="en-US" w:eastAsia="zh-CN"/>
              </w:rPr>
              <w:t>号单元</w:t>
            </w:r>
          </w:p>
          <w:p w14:paraId="0F539B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622B831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圩镇居委会、塘龙、龙塘、根竹头村委会辖区</w:t>
            </w:r>
          </w:p>
        </w:tc>
        <w:tc>
          <w:tcPr>
            <w:tcW w:w="1687" w:type="dxa"/>
            <w:vAlign w:val="center"/>
          </w:tcPr>
          <w:p w14:paraId="52DD2F1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2B0DB9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24E8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restart"/>
            <w:vAlign w:val="center"/>
          </w:tcPr>
          <w:p w14:paraId="742250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eastAsia="zh-CN"/>
              </w:rPr>
            </w:pPr>
            <w:r>
              <w:rPr>
                <w:rFonts w:ascii="仿宋_GB2312" w:eastAsia="仿宋_GB2312"/>
                <w:sz w:val="32"/>
                <w:szCs w:val="32"/>
                <w:highlight w:val="none"/>
              </w:rPr>
              <w:t>良西镇</w:t>
            </w:r>
          </w:p>
        </w:tc>
        <w:tc>
          <w:tcPr>
            <w:tcW w:w="2016" w:type="dxa"/>
            <w:vAlign w:val="center"/>
          </w:tcPr>
          <w:p w14:paraId="74A4E05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1</w:t>
            </w:r>
            <w:r>
              <w:rPr>
                <w:rFonts w:hint="eastAsia" w:ascii="宋体" w:hAnsi="宋体" w:cs="宋体"/>
                <w:b/>
                <w:bCs/>
                <w:sz w:val="32"/>
                <w:szCs w:val="32"/>
                <w:highlight w:val="none"/>
                <w:lang w:val="en-US" w:eastAsia="zh-CN"/>
              </w:rPr>
              <w:t>9</w:t>
            </w:r>
            <w:r>
              <w:rPr>
                <w:rFonts w:hint="eastAsia" w:ascii="仿宋_GB2312" w:eastAsia="仿宋_GB2312"/>
                <w:b/>
                <w:bCs/>
                <w:sz w:val="32"/>
                <w:szCs w:val="32"/>
                <w:highlight w:val="none"/>
                <w:lang w:val="en-US" w:eastAsia="zh-CN"/>
              </w:rPr>
              <w:t>号单元</w:t>
            </w:r>
          </w:p>
          <w:p w14:paraId="1223D4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0CDCDB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b/>
                <w:bCs/>
                <w:color w:val="FF0000"/>
                <w:sz w:val="32"/>
                <w:szCs w:val="32"/>
                <w:highlight w:val="none"/>
                <w:lang w:val="en-US" w:eastAsia="zh-CN"/>
              </w:rPr>
            </w:pPr>
            <w:r>
              <w:rPr>
                <w:rFonts w:hint="eastAsia" w:ascii="仿宋_GB2312" w:hAnsi="Times New Roman" w:eastAsia="仿宋_GB2312" w:cs="Times New Roman"/>
                <w:b/>
                <w:bCs/>
                <w:sz w:val="32"/>
                <w:szCs w:val="32"/>
                <w:highlight w:val="none"/>
                <w:lang w:val="en-US" w:eastAsia="zh-CN"/>
              </w:rPr>
              <w:t>镇域范围（禁设区域除外）</w:t>
            </w:r>
          </w:p>
        </w:tc>
        <w:tc>
          <w:tcPr>
            <w:tcW w:w="1687" w:type="dxa"/>
            <w:vAlign w:val="center"/>
          </w:tcPr>
          <w:p w14:paraId="477851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vAlign w:val="center"/>
          </w:tcPr>
          <w:p w14:paraId="64AE5F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2982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continue"/>
            <w:vAlign w:val="center"/>
          </w:tcPr>
          <w:p w14:paraId="635753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highlight w:val="none"/>
              </w:rPr>
            </w:pPr>
          </w:p>
        </w:tc>
        <w:tc>
          <w:tcPr>
            <w:tcW w:w="2016" w:type="dxa"/>
            <w:vAlign w:val="center"/>
          </w:tcPr>
          <w:p w14:paraId="06BB9B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cs="宋体"/>
                <w:sz w:val="32"/>
                <w:szCs w:val="32"/>
                <w:highlight w:val="none"/>
                <w:lang w:val="en-US" w:eastAsia="zh-CN"/>
              </w:rPr>
              <w:t>20</w:t>
            </w:r>
            <w:r>
              <w:rPr>
                <w:rFonts w:hint="eastAsia" w:ascii="仿宋_GB2312" w:eastAsia="仿宋_GB2312"/>
                <w:sz w:val="32"/>
                <w:szCs w:val="32"/>
                <w:highlight w:val="none"/>
                <w:lang w:val="en-US" w:eastAsia="zh-CN"/>
              </w:rPr>
              <w:t>号单元</w:t>
            </w:r>
          </w:p>
          <w:p w14:paraId="2B7E76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4E43F6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hAnsi="Times New Roman" w:eastAsia="仿宋_GB2312" w:cs="Times New Roman"/>
                <w:sz w:val="32"/>
                <w:szCs w:val="32"/>
                <w:highlight w:val="none"/>
                <w:lang w:val="en-US" w:eastAsia="zh-CN"/>
              </w:rPr>
              <w:t>镇域范围（禁设区域除外）</w:t>
            </w:r>
          </w:p>
        </w:tc>
        <w:tc>
          <w:tcPr>
            <w:tcW w:w="1687" w:type="dxa"/>
            <w:vAlign w:val="center"/>
          </w:tcPr>
          <w:p w14:paraId="3F8FF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vAlign w:val="center"/>
          </w:tcPr>
          <w:p w14:paraId="08DC333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3535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restart"/>
            <w:vAlign w:val="center"/>
          </w:tcPr>
          <w:p w14:paraId="7D6657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东成镇</w:t>
            </w:r>
          </w:p>
        </w:tc>
        <w:tc>
          <w:tcPr>
            <w:tcW w:w="2016" w:type="dxa"/>
            <w:vAlign w:val="center"/>
          </w:tcPr>
          <w:p w14:paraId="3C0F09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cs="宋体"/>
                <w:sz w:val="32"/>
                <w:szCs w:val="32"/>
                <w:highlight w:val="none"/>
                <w:lang w:val="en-US" w:eastAsia="zh-CN"/>
              </w:rPr>
              <w:t>21</w:t>
            </w:r>
            <w:r>
              <w:rPr>
                <w:rFonts w:hint="eastAsia" w:ascii="仿宋_GB2312" w:eastAsia="仿宋_GB2312"/>
                <w:sz w:val="32"/>
                <w:szCs w:val="32"/>
                <w:highlight w:val="none"/>
                <w:lang w:val="en-US" w:eastAsia="zh-CN"/>
              </w:rPr>
              <w:t>号单元</w:t>
            </w:r>
          </w:p>
          <w:p w14:paraId="51006DF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084E4C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FF0000"/>
                <w:sz w:val="32"/>
                <w:szCs w:val="32"/>
                <w:highlight w:val="none"/>
                <w:lang w:val="en-US" w:eastAsia="zh-CN"/>
              </w:rPr>
            </w:pPr>
            <w:r>
              <w:rPr>
                <w:rFonts w:hint="eastAsia" w:ascii="仿宋_GB2312" w:eastAsia="仿宋_GB2312"/>
                <w:sz w:val="32"/>
                <w:szCs w:val="32"/>
                <w:highlight w:val="none"/>
                <w:lang w:val="en-US" w:eastAsia="zh-CN"/>
              </w:rPr>
              <w:t>横槎、顺槎、祝荷、塘洲、金坑、东新村委会辖区</w:t>
            </w:r>
          </w:p>
        </w:tc>
        <w:tc>
          <w:tcPr>
            <w:tcW w:w="1687" w:type="dxa"/>
            <w:vAlign w:val="center"/>
          </w:tcPr>
          <w:p w14:paraId="772E08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1EF2AA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3A13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2F8368B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3A8068E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2</w:t>
            </w:r>
            <w:r>
              <w:rPr>
                <w:rFonts w:hint="eastAsia" w:ascii="宋体" w:hAnsi="宋体" w:cs="宋体"/>
                <w:b/>
                <w:bCs/>
                <w:sz w:val="32"/>
                <w:szCs w:val="32"/>
                <w:highlight w:val="none"/>
                <w:lang w:val="en-US" w:eastAsia="zh-CN"/>
              </w:rPr>
              <w:t>2</w:t>
            </w:r>
            <w:r>
              <w:rPr>
                <w:rFonts w:hint="eastAsia" w:ascii="仿宋_GB2312" w:eastAsia="仿宋_GB2312"/>
                <w:b/>
                <w:bCs/>
                <w:sz w:val="32"/>
                <w:szCs w:val="32"/>
                <w:highlight w:val="none"/>
                <w:lang w:val="en-US" w:eastAsia="zh-CN"/>
              </w:rPr>
              <w:t>号单元</w:t>
            </w:r>
          </w:p>
          <w:p w14:paraId="53A4D8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7465CD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圩镇居委会、石路、四联村委会辖区</w:t>
            </w:r>
          </w:p>
        </w:tc>
        <w:tc>
          <w:tcPr>
            <w:tcW w:w="1687" w:type="dxa"/>
            <w:vAlign w:val="center"/>
          </w:tcPr>
          <w:p w14:paraId="0531F1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63CEF9E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550D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5F9B43A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545A57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2</w:t>
            </w:r>
            <w:r>
              <w:rPr>
                <w:rFonts w:hint="eastAsia" w:ascii="宋体" w:hAnsi="宋体" w:cs="宋体"/>
                <w:sz w:val="32"/>
                <w:szCs w:val="32"/>
                <w:highlight w:val="none"/>
                <w:lang w:val="en-US" w:eastAsia="zh-CN"/>
              </w:rPr>
              <w:t>3</w:t>
            </w:r>
            <w:r>
              <w:rPr>
                <w:rFonts w:hint="eastAsia" w:ascii="仿宋_GB2312" w:eastAsia="仿宋_GB2312"/>
                <w:sz w:val="32"/>
                <w:szCs w:val="32"/>
                <w:highlight w:val="none"/>
                <w:lang w:val="en-US" w:eastAsia="zh-CN"/>
              </w:rPr>
              <w:t>号单元</w:t>
            </w:r>
          </w:p>
          <w:p w14:paraId="6ECF77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1A2469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上绵湖、下绵湖、石岗、石桥头、牛皮塘、横岗头、鹿颈村委会辖区</w:t>
            </w:r>
          </w:p>
        </w:tc>
        <w:tc>
          <w:tcPr>
            <w:tcW w:w="1687" w:type="dxa"/>
            <w:vAlign w:val="center"/>
          </w:tcPr>
          <w:p w14:paraId="27D249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475767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084A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restart"/>
            <w:vAlign w:val="center"/>
          </w:tcPr>
          <w:p w14:paraId="484E90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大田镇</w:t>
            </w:r>
          </w:p>
        </w:tc>
        <w:tc>
          <w:tcPr>
            <w:tcW w:w="2016" w:type="dxa"/>
            <w:vAlign w:val="center"/>
          </w:tcPr>
          <w:p w14:paraId="1D2080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2</w:t>
            </w:r>
            <w:r>
              <w:rPr>
                <w:rFonts w:hint="eastAsia" w:ascii="宋体" w:hAnsi="宋体" w:cs="宋体"/>
                <w:sz w:val="32"/>
                <w:szCs w:val="32"/>
                <w:highlight w:val="none"/>
                <w:lang w:val="en-US" w:eastAsia="zh-CN"/>
              </w:rPr>
              <w:t>4</w:t>
            </w:r>
            <w:r>
              <w:rPr>
                <w:rFonts w:hint="eastAsia" w:ascii="仿宋_GB2312" w:eastAsia="仿宋_GB2312"/>
                <w:sz w:val="32"/>
                <w:szCs w:val="32"/>
                <w:highlight w:val="none"/>
                <w:lang w:val="en-US" w:eastAsia="zh-CN"/>
              </w:rPr>
              <w:t>号单元</w:t>
            </w:r>
          </w:p>
          <w:p w14:paraId="1BA928A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7449A9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FF0000"/>
                <w:sz w:val="32"/>
                <w:szCs w:val="32"/>
                <w:highlight w:val="none"/>
                <w:lang w:val="en-US" w:eastAsia="zh-CN"/>
              </w:rPr>
            </w:pPr>
            <w:r>
              <w:rPr>
                <w:rFonts w:hint="eastAsia" w:ascii="仿宋_GB2312" w:eastAsia="仿宋_GB2312"/>
                <w:sz w:val="32"/>
                <w:szCs w:val="32"/>
                <w:highlight w:val="none"/>
                <w:lang w:val="en-US" w:eastAsia="zh-CN"/>
              </w:rPr>
              <w:t>朗底圩居委会、朗北、朗西、东南村委会辖区</w:t>
            </w:r>
          </w:p>
        </w:tc>
        <w:tc>
          <w:tcPr>
            <w:tcW w:w="1687" w:type="dxa"/>
            <w:vAlign w:val="center"/>
          </w:tcPr>
          <w:p w14:paraId="57CBCD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4A614F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5008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468901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223C8D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2</w:t>
            </w:r>
            <w:r>
              <w:rPr>
                <w:rFonts w:hint="eastAsia" w:ascii="宋体" w:hAnsi="宋体" w:cs="宋体"/>
                <w:b/>
                <w:bCs/>
                <w:sz w:val="32"/>
                <w:szCs w:val="32"/>
                <w:highlight w:val="none"/>
                <w:lang w:val="en-US" w:eastAsia="zh-CN"/>
              </w:rPr>
              <w:t>5</w:t>
            </w:r>
            <w:r>
              <w:rPr>
                <w:rFonts w:hint="eastAsia" w:ascii="仿宋_GB2312" w:eastAsia="仿宋_GB2312"/>
                <w:b/>
                <w:bCs/>
                <w:sz w:val="32"/>
                <w:szCs w:val="32"/>
                <w:highlight w:val="none"/>
                <w:lang w:val="en-US" w:eastAsia="zh-CN"/>
              </w:rPr>
              <w:t>号单元</w:t>
            </w:r>
          </w:p>
          <w:p w14:paraId="201F2C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36886BF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大田圩居委会、石山、华南、上南村委会辖区</w:t>
            </w:r>
          </w:p>
        </w:tc>
        <w:tc>
          <w:tcPr>
            <w:tcW w:w="1687" w:type="dxa"/>
            <w:vAlign w:val="center"/>
          </w:tcPr>
          <w:p w14:paraId="097435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7528E3F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0A55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25070C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22E0CC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2</w:t>
            </w:r>
            <w:r>
              <w:rPr>
                <w:rFonts w:hint="eastAsia" w:ascii="宋体" w:hAnsi="宋体" w:cs="宋体"/>
                <w:sz w:val="32"/>
                <w:szCs w:val="32"/>
                <w:highlight w:val="none"/>
                <w:lang w:val="en-US" w:eastAsia="zh-CN"/>
              </w:rPr>
              <w:t>6</w:t>
            </w:r>
            <w:r>
              <w:rPr>
                <w:rFonts w:hint="eastAsia" w:ascii="仿宋_GB2312" w:eastAsia="仿宋_GB2312"/>
                <w:sz w:val="32"/>
                <w:szCs w:val="32"/>
                <w:highlight w:val="none"/>
                <w:lang w:val="en-US" w:eastAsia="zh-CN"/>
              </w:rPr>
              <w:t>号单元</w:t>
            </w:r>
          </w:p>
          <w:p w14:paraId="02141B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67A1FC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黄沙、白石、北合、炉塘村委会辖区</w:t>
            </w:r>
          </w:p>
        </w:tc>
        <w:tc>
          <w:tcPr>
            <w:tcW w:w="1687" w:type="dxa"/>
            <w:vAlign w:val="center"/>
          </w:tcPr>
          <w:p w14:paraId="750399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2E0121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243B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restart"/>
            <w:vAlign w:val="center"/>
          </w:tcPr>
          <w:p w14:paraId="43A84B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横陂镇</w:t>
            </w:r>
          </w:p>
        </w:tc>
        <w:tc>
          <w:tcPr>
            <w:tcW w:w="2016" w:type="dxa"/>
            <w:vAlign w:val="center"/>
          </w:tcPr>
          <w:p w14:paraId="4D0AF4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2</w:t>
            </w:r>
            <w:r>
              <w:rPr>
                <w:rFonts w:hint="eastAsia" w:ascii="宋体" w:hAnsi="宋体" w:cs="宋体"/>
                <w:sz w:val="32"/>
                <w:szCs w:val="32"/>
                <w:highlight w:val="none"/>
                <w:lang w:val="en-US" w:eastAsia="zh-CN"/>
              </w:rPr>
              <w:t>7</w:t>
            </w:r>
            <w:r>
              <w:rPr>
                <w:rFonts w:hint="eastAsia" w:ascii="仿宋_GB2312" w:eastAsia="仿宋_GB2312"/>
                <w:sz w:val="32"/>
                <w:szCs w:val="32"/>
                <w:highlight w:val="none"/>
                <w:lang w:val="en-US" w:eastAsia="zh-CN"/>
              </w:rPr>
              <w:t>号单元</w:t>
            </w:r>
          </w:p>
          <w:p w14:paraId="46C2A0D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6D8C2C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FF0000"/>
                <w:sz w:val="32"/>
                <w:szCs w:val="32"/>
                <w:highlight w:val="none"/>
                <w:lang w:val="en-US" w:eastAsia="zh-CN"/>
              </w:rPr>
            </w:pPr>
            <w:r>
              <w:rPr>
                <w:rFonts w:hint="eastAsia" w:ascii="仿宋_GB2312" w:eastAsia="仿宋_GB2312"/>
                <w:sz w:val="32"/>
                <w:szCs w:val="32"/>
                <w:highlight w:val="none"/>
                <w:lang w:val="en-US" w:eastAsia="zh-CN"/>
              </w:rPr>
              <w:t>洪滘圩居委会、塘莲、湾海、新潮、围边、蓝田、元山、大亨村委会辖区</w:t>
            </w:r>
          </w:p>
        </w:tc>
        <w:tc>
          <w:tcPr>
            <w:tcW w:w="1687" w:type="dxa"/>
            <w:vAlign w:val="center"/>
          </w:tcPr>
          <w:p w14:paraId="19D0FE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42E0A8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3E1B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03B2D7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54B1B0A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eastAsia="宋体" w:cs="宋体"/>
                <w:b/>
                <w:bCs/>
                <w:sz w:val="32"/>
                <w:szCs w:val="32"/>
                <w:highlight w:val="none"/>
                <w:lang w:val="en-US" w:eastAsia="zh-CN"/>
              </w:rPr>
              <w:t>2</w:t>
            </w:r>
            <w:r>
              <w:rPr>
                <w:rFonts w:hint="eastAsia" w:ascii="宋体" w:hAnsi="宋体" w:cs="宋体"/>
                <w:b/>
                <w:bCs/>
                <w:sz w:val="32"/>
                <w:szCs w:val="32"/>
                <w:highlight w:val="none"/>
                <w:lang w:val="en-US" w:eastAsia="zh-CN"/>
              </w:rPr>
              <w:t>8</w:t>
            </w:r>
            <w:r>
              <w:rPr>
                <w:rFonts w:hint="eastAsia" w:ascii="仿宋_GB2312" w:eastAsia="仿宋_GB2312"/>
                <w:b/>
                <w:bCs/>
                <w:sz w:val="32"/>
                <w:szCs w:val="32"/>
                <w:highlight w:val="none"/>
                <w:lang w:val="en-US" w:eastAsia="zh-CN"/>
              </w:rPr>
              <w:t>号单元</w:t>
            </w:r>
          </w:p>
          <w:p w14:paraId="7F8E28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047DAE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横陂圩居委会、虾山、白庙、白银、岐联、横东村委会辖区</w:t>
            </w:r>
          </w:p>
        </w:tc>
        <w:tc>
          <w:tcPr>
            <w:tcW w:w="1687" w:type="dxa"/>
            <w:vAlign w:val="center"/>
          </w:tcPr>
          <w:p w14:paraId="060545F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496D48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0DAF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Merge w:val="continue"/>
            <w:vAlign w:val="center"/>
          </w:tcPr>
          <w:p w14:paraId="10404B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p>
        </w:tc>
        <w:tc>
          <w:tcPr>
            <w:tcW w:w="2016" w:type="dxa"/>
            <w:vAlign w:val="center"/>
          </w:tcPr>
          <w:p w14:paraId="0D527E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eastAsia="宋体" w:cs="宋体"/>
                <w:sz w:val="32"/>
                <w:szCs w:val="32"/>
                <w:highlight w:val="none"/>
                <w:lang w:val="en-US" w:eastAsia="zh-CN"/>
              </w:rPr>
              <w:t>2</w:t>
            </w:r>
            <w:r>
              <w:rPr>
                <w:rFonts w:hint="eastAsia" w:ascii="宋体" w:hAnsi="宋体" w:cs="宋体"/>
                <w:sz w:val="32"/>
                <w:szCs w:val="32"/>
                <w:highlight w:val="none"/>
                <w:lang w:val="en-US" w:eastAsia="zh-CN"/>
              </w:rPr>
              <w:t>9</w:t>
            </w:r>
            <w:r>
              <w:rPr>
                <w:rFonts w:hint="eastAsia" w:ascii="仿宋_GB2312" w:eastAsia="仿宋_GB2312"/>
                <w:sz w:val="32"/>
                <w:szCs w:val="32"/>
                <w:highlight w:val="none"/>
                <w:lang w:val="en-US" w:eastAsia="zh-CN"/>
              </w:rPr>
              <w:t>号单元</w:t>
            </w:r>
          </w:p>
          <w:p w14:paraId="358408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5C3DB7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横盘、横南、西联、横平、甘围、横西、南华村委会辖区</w:t>
            </w:r>
          </w:p>
        </w:tc>
        <w:tc>
          <w:tcPr>
            <w:tcW w:w="1687" w:type="dxa"/>
            <w:vAlign w:val="center"/>
          </w:tcPr>
          <w:p w14:paraId="3EE8D6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w:t>
            </w:r>
          </w:p>
        </w:tc>
        <w:tc>
          <w:tcPr>
            <w:tcW w:w="2134" w:type="dxa"/>
            <w:vAlign w:val="center"/>
          </w:tcPr>
          <w:p w14:paraId="598925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eastAsia="宋体" w:cs="宋体"/>
                <w:b/>
                <w:bCs/>
                <w:sz w:val="32"/>
                <w:szCs w:val="32"/>
                <w:highlight w:val="none"/>
                <w:lang w:val="en-US" w:eastAsia="zh-CN"/>
              </w:rPr>
              <w:t>2027</w:t>
            </w:r>
            <w:r>
              <w:rPr>
                <w:rFonts w:hint="eastAsia" w:ascii="楷体_GB2312" w:hAnsi="楷体_GB2312" w:eastAsia="楷体_GB2312" w:cs="楷体_GB2312"/>
                <w:b/>
                <w:bCs/>
                <w:sz w:val="32"/>
                <w:szCs w:val="32"/>
                <w:highlight w:val="none"/>
                <w:lang w:val="en-US" w:eastAsia="zh-CN"/>
              </w:rPr>
              <w:t>年第四季度</w:t>
            </w:r>
          </w:p>
        </w:tc>
      </w:tr>
      <w:tr w14:paraId="00BA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restart"/>
            <w:vAlign w:val="center"/>
          </w:tcPr>
          <w:p w14:paraId="2CD6E3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Times New Roman" w:eastAsia="仿宋_GB2312" w:cs="Times New Roman"/>
                <w:sz w:val="32"/>
                <w:szCs w:val="32"/>
                <w:highlight w:val="none"/>
              </w:rPr>
            </w:pPr>
            <w:r>
              <w:rPr>
                <w:rFonts w:ascii="仿宋_GB2312" w:hAnsi="Times New Roman" w:eastAsia="仿宋_GB2312" w:cs="Times New Roman"/>
                <w:sz w:val="32"/>
                <w:szCs w:val="32"/>
                <w:highlight w:val="none"/>
              </w:rPr>
              <w:t>大槐镇</w:t>
            </w:r>
          </w:p>
        </w:tc>
        <w:tc>
          <w:tcPr>
            <w:tcW w:w="2016" w:type="dxa"/>
            <w:vAlign w:val="center"/>
          </w:tcPr>
          <w:p w14:paraId="30FBA5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cs="宋体"/>
                <w:b/>
                <w:bCs/>
                <w:sz w:val="32"/>
                <w:szCs w:val="32"/>
                <w:highlight w:val="none"/>
                <w:lang w:val="en-US" w:eastAsia="zh-CN"/>
              </w:rPr>
              <w:t>30</w:t>
            </w:r>
            <w:r>
              <w:rPr>
                <w:rFonts w:hint="eastAsia" w:ascii="仿宋_GB2312" w:eastAsia="仿宋_GB2312"/>
                <w:b/>
                <w:bCs/>
                <w:sz w:val="32"/>
                <w:szCs w:val="32"/>
                <w:highlight w:val="none"/>
                <w:lang w:val="en-US" w:eastAsia="zh-CN"/>
              </w:rPr>
              <w:t>号单元</w:t>
            </w:r>
          </w:p>
          <w:p w14:paraId="16FE6A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668119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FF0000"/>
                <w:sz w:val="32"/>
                <w:szCs w:val="32"/>
                <w:highlight w:val="none"/>
                <w:lang w:val="en-US" w:eastAsia="zh-CN"/>
              </w:rPr>
            </w:pPr>
            <w:r>
              <w:rPr>
                <w:rFonts w:hint="eastAsia" w:ascii="仿宋_GB2312" w:hAnsi="Times New Roman" w:eastAsia="仿宋_GB2312" w:cs="Times New Roman"/>
                <w:b/>
                <w:bCs/>
                <w:sz w:val="32"/>
                <w:szCs w:val="32"/>
                <w:highlight w:val="none"/>
                <w:lang w:val="en-US" w:eastAsia="zh-CN"/>
              </w:rPr>
              <w:t>镇域范围（禁设区域除外）</w:t>
            </w:r>
          </w:p>
        </w:tc>
        <w:tc>
          <w:tcPr>
            <w:tcW w:w="1687" w:type="dxa"/>
            <w:vAlign w:val="center"/>
          </w:tcPr>
          <w:p w14:paraId="76D035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shd w:val="clear" w:color="auto" w:fill="auto"/>
            <w:vAlign w:val="center"/>
          </w:tcPr>
          <w:p w14:paraId="716059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s="Times New Roman" w:asciiTheme="minorEastAsia" w:hAnsiTheme="minorEastAsia" w:eastAsiaTheme="minorEastAsia"/>
                <w:color w:val="auto"/>
                <w:kern w:val="2"/>
                <w:sz w:val="32"/>
                <w:szCs w:val="32"/>
                <w:highlight w:val="none"/>
                <w:lang w:val="en-US" w:eastAsia="zh-CN" w:bidi="ar-SA"/>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47BF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continue"/>
            <w:vAlign w:val="center"/>
          </w:tcPr>
          <w:p w14:paraId="79C7DD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highlight w:val="none"/>
              </w:rPr>
            </w:pPr>
          </w:p>
        </w:tc>
        <w:tc>
          <w:tcPr>
            <w:tcW w:w="2016" w:type="dxa"/>
            <w:vAlign w:val="center"/>
          </w:tcPr>
          <w:p w14:paraId="2931D3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cs="宋体"/>
                <w:sz w:val="32"/>
                <w:szCs w:val="32"/>
                <w:highlight w:val="none"/>
                <w:lang w:val="en-US" w:eastAsia="zh-CN"/>
              </w:rPr>
              <w:t>31</w:t>
            </w:r>
            <w:r>
              <w:rPr>
                <w:rFonts w:hint="eastAsia" w:ascii="仿宋_GB2312" w:eastAsia="仿宋_GB2312"/>
                <w:sz w:val="32"/>
                <w:szCs w:val="32"/>
                <w:highlight w:val="none"/>
                <w:lang w:val="en-US" w:eastAsia="zh-CN"/>
              </w:rPr>
              <w:t>号单元</w:t>
            </w:r>
          </w:p>
          <w:p w14:paraId="1E34D6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388E21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hAnsi="Times New Roman" w:eastAsia="仿宋_GB2312" w:cs="Times New Roman"/>
                <w:sz w:val="32"/>
                <w:szCs w:val="32"/>
                <w:highlight w:val="none"/>
                <w:lang w:val="en-US" w:eastAsia="zh-CN"/>
              </w:rPr>
              <w:t>镇域范围（禁设区域除外）</w:t>
            </w:r>
          </w:p>
        </w:tc>
        <w:tc>
          <w:tcPr>
            <w:tcW w:w="1687" w:type="dxa"/>
            <w:vAlign w:val="center"/>
          </w:tcPr>
          <w:p w14:paraId="667DAA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vAlign w:val="center"/>
          </w:tcPr>
          <w:p w14:paraId="24F01C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3055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restart"/>
            <w:vAlign w:val="center"/>
          </w:tcPr>
          <w:p w14:paraId="54901C5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hAnsi="Times New Roman" w:eastAsia="仿宋_GB2312" w:cs="Times New Roman"/>
                <w:sz w:val="32"/>
                <w:szCs w:val="32"/>
                <w:highlight w:val="none"/>
              </w:rPr>
            </w:pPr>
            <w:r>
              <w:rPr>
                <w:rFonts w:ascii="仿宋_GB2312" w:hAnsi="Times New Roman" w:eastAsia="仿宋_GB2312" w:cs="Times New Roman"/>
                <w:sz w:val="32"/>
                <w:szCs w:val="32"/>
                <w:highlight w:val="none"/>
              </w:rPr>
              <w:t>那吉镇</w:t>
            </w:r>
          </w:p>
        </w:tc>
        <w:tc>
          <w:tcPr>
            <w:tcW w:w="2016" w:type="dxa"/>
            <w:vAlign w:val="center"/>
          </w:tcPr>
          <w:p w14:paraId="4B742EB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b/>
                <w:bCs/>
                <w:sz w:val="32"/>
                <w:szCs w:val="32"/>
                <w:highlight w:val="none"/>
                <w:lang w:val="en-US" w:eastAsia="zh-CN"/>
              </w:rPr>
            </w:pPr>
            <w:r>
              <w:rPr>
                <w:rFonts w:hint="eastAsia" w:ascii="宋体" w:hAnsi="宋体" w:cs="宋体"/>
                <w:b/>
                <w:bCs/>
                <w:sz w:val="32"/>
                <w:szCs w:val="32"/>
                <w:highlight w:val="none"/>
                <w:lang w:val="en-US" w:eastAsia="zh-CN"/>
              </w:rPr>
              <w:t>32</w:t>
            </w:r>
            <w:r>
              <w:rPr>
                <w:rFonts w:hint="eastAsia" w:ascii="仿宋_GB2312" w:eastAsia="仿宋_GB2312"/>
                <w:b/>
                <w:bCs/>
                <w:sz w:val="32"/>
                <w:szCs w:val="32"/>
                <w:highlight w:val="none"/>
                <w:lang w:val="en-US" w:eastAsia="zh-CN"/>
              </w:rPr>
              <w:t>号单元</w:t>
            </w:r>
          </w:p>
          <w:p w14:paraId="2DAF16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auto"/>
                <w:sz w:val="32"/>
                <w:szCs w:val="32"/>
                <w:highlight w:val="none"/>
                <w:lang w:val="en-US" w:eastAsia="zh-CN"/>
              </w:rPr>
            </w:pPr>
            <w:r>
              <w:rPr>
                <w:rFonts w:hint="eastAsia" w:ascii="仿宋_GB2312" w:eastAsia="仿宋_GB2312"/>
                <w:b/>
                <w:bCs/>
                <w:sz w:val="32"/>
                <w:szCs w:val="32"/>
                <w:highlight w:val="none"/>
                <w:lang w:val="en-US" w:eastAsia="zh-CN"/>
              </w:rPr>
              <w:t>（长期点）</w:t>
            </w:r>
          </w:p>
        </w:tc>
        <w:tc>
          <w:tcPr>
            <w:tcW w:w="5419" w:type="dxa"/>
            <w:vAlign w:val="center"/>
          </w:tcPr>
          <w:p w14:paraId="4EDDB2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b/>
                <w:bCs/>
                <w:color w:val="FF0000"/>
                <w:sz w:val="32"/>
                <w:szCs w:val="32"/>
                <w:highlight w:val="none"/>
                <w:lang w:val="en-US" w:eastAsia="zh-CN"/>
              </w:rPr>
            </w:pPr>
            <w:r>
              <w:rPr>
                <w:rFonts w:hint="eastAsia" w:ascii="仿宋_GB2312" w:hAnsi="Times New Roman" w:eastAsia="仿宋_GB2312" w:cs="Times New Roman"/>
                <w:b/>
                <w:bCs/>
                <w:sz w:val="32"/>
                <w:szCs w:val="32"/>
                <w:highlight w:val="none"/>
                <w:lang w:val="en-US" w:eastAsia="zh-CN"/>
              </w:rPr>
              <w:t>镇域范围（禁设区域除外）</w:t>
            </w:r>
          </w:p>
        </w:tc>
        <w:tc>
          <w:tcPr>
            <w:tcW w:w="1687" w:type="dxa"/>
            <w:vAlign w:val="center"/>
          </w:tcPr>
          <w:p w14:paraId="274559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shd w:val="clear" w:color="auto" w:fill="auto"/>
            <w:vAlign w:val="center"/>
          </w:tcPr>
          <w:p w14:paraId="010880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s="Times New Roman" w:asciiTheme="minorEastAsia" w:hAnsiTheme="minorEastAsia" w:eastAsiaTheme="minorEastAsia"/>
                <w:color w:val="auto"/>
                <w:kern w:val="2"/>
                <w:sz w:val="32"/>
                <w:szCs w:val="32"/>
                <w:highlight w:val="none"/>
                <w:lang w:val="en-US" w:eastAsia="zh-CN" w:bidi="ar-SA"/>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6AC9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895" w:type="dxa"/>
            <w:vMerge w:val="continue"/>
            <w:vAlign w:val="center"/>
          </w:tcPr>
          <w:p w14:paraId="0AC113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highlight w:val="none"/>
              </w:rPr>
            </w:pPr>
          </w:p>
        </w:tc>
        <w:tc>
          <w:tcPr>
            <w:tcW w:w="2016" w:type="dxa"/>
            <w:vAlign w:val="center"/>
          </w:tcPr>
          <w:p w14:paraId="39DFBE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宋体" w:hAnsi="宋体" w:cs="宋体"/>
                <w:sz w:val="32"/>
                <w:szCs w:val="32"/>
                <w:highlight w:val="none"/>
                <w:lang w:val="en-US" w:eastAsia="zh-CN"/>
              </w:rPr>
              <w:t>33</w:t>
            </w:r>
            <w:r>
              <w:rPr>
                <w:rFonts w:hint="eastAsia" w:ascii="仿宋_GB2312" w:eastAsia="仿宋_GB2312"/>
                <w:sz w:val="32"/>
                <w:szCs w:val="32"/>
                <w:highlight w:val="none"/>
                <w:lang w:val="en-US" w:eastAsia="zh-CN"/>
              </w:rPr>
              <w:t>号单元</w:t>
            </w:r>
          </w:p>
          <w:p w14:paraId="799914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（短期点）</w:t>
            </w:r>
          </w:p>
        </w:tc>
        <w:tc>
          <w:tcPr>
            <w:tcW w:w="5419" w:type="dxa"/>
            <w:vAlign w:val="center"/>
          </w:tcPr>
          <w:p w14:paraId="466DA3D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eastAsia="仿宋_GB2312"/>
                <w:sz w:val="32"/>
                <w:szCs w:val="32"/>
                <w:highlight w:val="none"/>
                <w:lang w:val="en-US" w:eastAsia="zh-CN"/>
              </w:rPr>
            </w:pPr>
            <w:r>
              <w:rPr>
                <w:rFonts w:hint="eastAsia" w:ascii="仿宋_GB2312" w:hAnsi="Times New Roman" w:eastAsia="仿宋_GB2312" w:cs="Times New Roman"/>
                <w:sz w:val="32"/>
                <w:szCs w:val="32"/>
                <w:highlight w:val="none"/>
                <w:lang w:val="en-US" w:eastAsia="zh-CN"/>
              </w:rPr>
              <w:t>镇域范围（禁设区域除外）</w:t>
            </w:r>
          </w:p>
        </w:tc>
        <w:tc>
          <w:tcPr>
            <w:tcW w:w="1687" w:type="dxa"/>
            <w:vAlign w:val="center"/>
          </w:tcPr>
          <w:p w14:paraId="2EAF7B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1</w:t>
            </w:r>
          </w:p>
        </w:tc>
        <w:tc>
          <w:tcPr>
            <w:tcW w:w="2134" w:type="dxa"/>
            <w:shd w:val="clear" w:color="auto" w:fill="auto"/>
            <w:vAlign w:val="center"/>
          </w:tcPr>
          <w:p w14:paraId="740D73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s="Times New Roman" w:asciiTheme="minorEastAsia" w:hAnsiTheme="minorEastAsia" w:eastAsiaTheme="minorEastAsia"/>
                <w:color w:val="auto"/>
                <w:kern w:val="2"/>
                <w:sz w:val="32"/>
                <w:szCs w:val="32"/>
                <w:highlight w:val="none"/>
                <w:lang w:val="en-US" w:eastAsia="zh-CN" w:bidi="ar-SA"/>
              </w:rPr>
            </w:pPr>
            <w:r>
              <w:rPr>
                <w:rFonts w:hint="eastAsia" w:asciiTheme="minorEastAsia" w:hAnsiTheme="minorEastAsia" w:eastAsiaTheme="minorEastAsia"/>
                <w:color w:val="auto"/>
                <w:sz w:val="32"/>
                <w:szCs w:val="32"/>
                <w:highlight w:val="none"/>
                <w:lang w:val="en-US" w:eastAsia="zh-CN"/>
              </w:rPr>
              <w:t>2026</w:t>
            </w:r>
            <w:r>
              <w:rPr>
                <w:rFonts w:hint="eastAsia" w:ascii="仿宋_GB2312" w:eastAsia="仿宋_GB2312"/>
                <w:sz w:val="32"/>
                <w:szCs w:val="32"/>
                <w:highlight w:val="none"/>
                <w:lang w:val="en-US" w:eastAsia="zh-CN"/>
              </w:rPr>
              <w:t>年第四季度</w:t>
            </w:r>
          </w:p>
        </w:tc>
      </w:tr>
      <w:tr w14:paraId="4A94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5" w:type="dxa"/>
            <w:vAlign w:val="center"/>
          </w:tcPr>
          <w:p w14:paraId="34AFE0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_GB2312" w:eastAsia="仿宋_GB2312"/>
                <w:sz w:val="32"/>
                <w:szCs w:val="32"/>
                <w:highlight w:val="none"/>
              </w:rPr>
            </w:pPr>
            <w:r>
              <w:rPr>
                <w:rFonts w:ascii="仿宋_GB2312" w:eastAsia="仿宋_GB2312"/>
                <w:sz w:val="32"/>
                <w:szCs w:val="32"/>
                <w:highlight w:val="none"/>
              </w:rPr>
              <w:t>总计</w:t>
            </w:r>
          </w:p>
        </w:tc>
        <w:tc>
          <w:tcPr>
            <w:tcW w:w="2016" w:type="dxa"/>
            <w:vAlign w:val="center"/>
          </w:tcPr>
          <w:p w14:paraId="6D218C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cs="宋体"/>
                <w:sz w:val="32"/>
                <w:szCs w:val="32"/>
                <w:highlight w:val="none"/>
                <w:lang w:val="en-US" w:eastAsia="zh-CN"/>
              </w:rPr>
            </w:pPr>
            <w:r>
              <w:rPr>
                <w:rFonts w:hint="eastAsia" w:ascii="宋体" w:hAnsi="宋体" w:eastAsia="宋体" w:cs="宋体"/>
                <w:sz w:val="32"/>
                <w:szCs w:val="32"/>
                <w:highlight w:val="none"/>
                <w:lang w:val="en-US" w:eastAsia="zh-CN"/>
              </w:rPr>
              <w:t>3</w:t>
            </w:r>
            <w:r>
              <w:rPr>
                <w:rFonts w:hint="eastAsia" w:ascii="宋体" w:hAnsi="宋体" w:cs="宋体"/>
                <w:sz w:val="32"/>
                <w:szCs w:val="32"/>
                <w:highlight w:val="none"/>
                <w:lang w:val="en-US" w:eastAsia="zh-CN"/>
              </w:rPr>
              <w:t>3个</w:t>
            </w:r>
          </w:p>
          <w:p w14:paraId="089304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olor w:val="auto"/>
                <w:sz w:val="32"/>
                <w:szCs w:val="32"/>
                <w:highlight w:val="none"/>
                <w:lang w:val="en-US" w:eastAsia="zh-CN"/>
              </w:rPr>
            </w:pPr>
            <w:r>
              <w:rPr>
                <w:rFonts w:hint="eastAsia" w:ascii="宋体" w:hAnsi="宋体" w:cs="宋体"/>
                <w:sz w:val="32"/>
                <w:szCs w:val="32"/>
                <w:highlight w:val="none"/>
                <w:lang w:val="en-US" w:eastAsia="zh-CN"/>
              </w:rPr>
              <w:t>（12</w:t>
            </w:r>
            <w:r>
              <w:rPr>
                <w:rFonts w:hint="eastAsia" w:ascii="仿宋_GB2312" w:eastAsia="仿宋_GB2312"/>
                <w:sz w:val="32"/>
                <w:szCs w:val="32"/>
                <w:highlight w:val="none"/>
                <w:lang w:val="en-US" w:eastAsia="zh-CN"/>
              </w:rPr>
              <w:t>个长期点、</w:t>
            </w:r>
            <w:r>
              <w:rPr>
                <w:rFonts w:hint="eastAsia" w:ascii="宋体" w:hAnsi="宋体" w:cs="宋体"/>
                <w:sz w:val="32"/>
                <w:szCs w:val="32"/>
                <w:highlight w:val="none"/>
                <w:lang w:val="en-US" w:eastAsia="zh-CN"/>
              </w:rPr>
              <w:t>21</w:t>
            </w:r>
            <w:r>
              <w:rPr>
                <w:rFonts w:hint="eastAsia" w:ascii="仿宋_GB2312" w:eastAsia="仿宋_GB2312"/>
                <w:sz w:val="32"/>
                <w:szCs w:val="32"/>
                <w:highlight w:val="none"/>
                <w:lang w:val="en-US" w:eastAsia="zh-CN"/>
              </w:rPr>
              <w:t>个短期点</w:t>
            </w:r>
            <w:r>
              <w:rPr>
                <w:rFonts w:hint="eastAsia" w:ascii="宋体" w:hAnsi="宋体" w:cs="宋体"/>
                <w:sz w:val="32"/>
                <w:szCs w:val="32"/>
                <w:highlight w:val="none"/>
                <w:lang w:val="en-US" w:eastAsia="zh-CN"/>
              </w:rPr>
              <w:t>）</w:t>
            </w:r>
          </w:p>
        </w:tc>
        <w:tc>
          <w:tcPr>
            <w:tcW w:w="5419" w:type="dxa"/>
            <w:vAlign w:val="center"/>
          </w:tcPr>
          <w:p w14:paraId="36B9845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FF0000"/>
                <w:sz w:val="32"/>
                <w:szCs w:val="32"/>
                <w:highlight w:val="none"/>
                <w:lang w:val="en-US" w:eastAsia="zh-CN"/>
              </w:rPr>
            </w:pPr>
            <w:r>
              <w:rPr>
                <w:rFonts w:hint="eastAsia" w:ascii="仿宋_GB2312" w:hAnsi="Times New Roman" w:eastAsia="仿宋_GB2312" w:cs="Times New Roman"/>
                <w:sz w:val="32"/>
                <w:szCs w:val="32"/>
                <w:highlight w:val="none"/>
                <w:lang w:val="en-US" w:eastAsia="zh-CN"/>
              </w:rPr>
              <w:t>市域范围（禁设区域除外）</w:t>
            </w:r>
          </w:p>
        </w:tc>
        <w:tc>
          <w:tcPr>
            <w:tcW w:w="1687" w:type="dxa"/>
            <w:vAlign w:val="center"/>
          </w:tcPr>
          <w:p w14:paraId="3614E8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33</w:t>
            </w:r>
          </w:p>
        </w:tc>
        <w:tc>
          <w:tcPr>
            <w:tcW w:w="2134" w:type="dxa"/>
            <w:vAlign w:val="center"/>
          </w:tcPr>
          <w:p w14:paraId="2C5D87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color w:val="auto"/>
                <w:sz w:val="32"/>
                <w:szCs w:val="32"/>
                <w:highlight w:val="none"/>
                <w:lang w:val="en-US" w:eastAsia="zh-CN"/>
              </w:rPr>
              <w:t>2026</w:t>
            </w:r>
            <w:r>
              <w:rPr>
                <w:rFonts w:hint="eastAsia" w:ascii="仿宋_GB2312" w:hAnsi="Times New Roman" w:eastAsia="仿宋_GB2312" w:cs="Times New Roman"/>
                <w:sz w:val="32"/>
                <w:szCs w:val="32"/>
                <w:highlight w:val="none"/>
                <w:lang w:val="en-US" w:eastAsia="zh-CN"/>
              </w:rPr>
              <w:t>年至</w:t>
            </w:r>
            <w:r>
              <w:rPr>
                <w:rFonts w:hint="eastAsia" w:asciiTheme="minorEastAsia" w:hAnsiTheme="minorEastAsia" w:eastAsiaTheme="minorEastAsia"/>
                <w:color w:val="auto"/>
                <w:sz w:val="32"/>
                <w:szCs w:val="32"/>
                <w:highlight w:val="none"/>
                <w:lang w:val="en-US" w:eastAsia="zh-CN"/>
              </w:rPr>
              <w:t>2028</w:t>
            </w:r>
            <w:r>
              <w:rPr>
                <w:rFonts w:hint="eastAsia" w:ascii="仿宋_GB2312" w:hAnsi="Times New Roman" w:eastAsia="仿宋_GB2312" w:cs="Times New Roman"/>
                <w:sz w:val="32"/>
                <w:szCs w:val="32"/>
                <w:highlight w:val="none"/>
                <w:lang w:val="en-US" w:eastAsia="zh-CN"/>
              </w:rPr>
              <w:t>年</w:t>
            </w:r>
          </w:p>
        </w:tc>
      </w:tr>
    </w:tbl>
    <w:p w14:paraId="46D34501">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仿宋_GB2312" w:cs="Times New Roman"/>
          <w:kern w:val="2"/>
          <w:sz w:val="32"/>
          <w:szCs w:val="32"/>
          <w:highlight w:val="none"/>
          <w:lang w:val="en-US" w:eastAsia="zh-CN" w:bidi="ar-SA"/>
        </w:rPr>
      </w:pPr>
    </w:p>
    <w:sectPr>
      <w:pgSz w:w="16838" w:h="11906" w:orient="landscape"/>
      <w:pgMar w:top="1588" w:right="1928" w:bottom="1418" w:left="1814" w:header="1361" w:footer="1276" w:gutter="0"/>
      <w:pgNumType w:fmt="decimal" w:start="1"/>
      <w:cols w:space="0" w:num="1"/>
      <w:rtlGutter w:val="0"/>
      <w:docGrid w:type="linesAndChars" w:linePitch="592" w:charSpace="-4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084F">
    <w:pPr>
      <w:pStyle w:val="1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87A81">
                          <w:pPr>
                            <w:pStyle w:val="16"/>
                            <w:rPr>
                              <w:rStyle w:val="26"/>
                              <w:b/>
                              <w:color w:val="FFFFFF"/>
                              <w:sz w:val="28"/>
                              <w:szCs w:val="28"/>
                            </w:rPr>
                          </w:pPr>
                          <w:r>
                            <w:rPr>
                              <w:rStyle w:val="26"/>
                              <w:rFonts w:hint="eastAsia"/>
                              <w:b/>
                              <w:color w:val="FFFFFF"/>
                              <w:sz w:val="28"/>
                              <w:szCs w:val="28"/>
                            </w:rPr>
                            <w:t>—</w:t>
                          </w:r>
                          <w:r>
                            <w:rPr>
                              <w:rStyle w:val="26"/>
                              <w:rFonts w:hint="eastAsia" w:ascii="宋体" w:hAnsi="宋体" w:eastAsia="宋体" w:cs="宋体"/>
                              <w:b/>
                              <w:sz w:val="28"/>
                              <w:szCs w:val="28"/>
                            </w:rPr>
                            <w:t xml:space="preserve">— </w:t>
                          </w:r>
                          <w:r>
                            <w:rPr>
                              <w:rStyle w:val="26"/>
                              <w:rFonts w:hint="eastAsia" w:ascii="宋体" w:hAnsi="宋体" w:eastAsia="宋体" w:cs="宋体"/>
                              <w:sz w:val="28"/>
                              <w:szCs w:val="28"/>
                            </w:rPr>
                            <w:fldChar w:fldCharType="begin"/>
                          </w:r>
                          <w:r>
                            <w:rPr>
                              <w:rStyle w:val="26"/>
                              <w:rFonts w:hint="eastAsia" w:ascii="宋体" w:hAnsi="宋体" w:eastAsia="宋体" w:cs="宋体"/>
                              <w:sz w:val="28"/>
                              <w:szCs w:val="28"/>
                            </w:rPr>
                            <w:instrText xml:space="preserve">PAGE  </w:instrText>
                          </w:r>
                          <w:r>
                            <w:rPr>
                              <w:rStyle w:val="26"/>
                              <w:rFonts w:hint="eastAsia" w:ascii="宋体" w:hAnsi="宋体" w:eastAsia="宋体" w:cs="宋体"/>
                              <w:sz w:val="28"/>
                              <w:szCs w:val="28"/>
                            </w:rPr>
                            <w:fldChar w:fldCharType="separate"/>
                          </w:r>
                          <w:r>
                            <w:rPr>
                              <w:rStyle w:val="26"/>
                              <w:rFonts w:hint="eastAsia" w:ascii="宋体" w:hAnsi="宋体" w:eastAsia="宋体" w:cs="宋体"/>
                              <w:sz w:val="28"/>
                              <w:szCs w:val="28"/>
                            </w:rPr>
                            <w:t>8</w:t>
                          </w:r>
                          <w:r>
                            <w:rPr>
                              <w:rStyle w:val="26"/>
                              <w:rFonts w:hint="eastAsia" w:ascii="宋体" w:hAnsi="宋体" w:eastAsia="宋体" w:cs="宋体"/>
                              <w:sz w:val="28"/>
                              <w:szCs w:val="28"/>
                            </w:rPr>
                            <w:fldChar w:fldCharType="end"/>
                          </w:r>
                          <w:r>
                            <w:rPr>
                              <w:rStyle w:val="26"/>
                              <w:rFonts w:hint="eastAsia" w:ascii="宋体" w:hAnsi="宋体" w:eastAsia="宋体" w:cs="宋体"/>
                              <w:b/>
                              <w:sz w:val="28"/>
                              <w:szCs w:val="28"/>
                            </w:rPr>
                            <w:t xml:space="preserve"> —</w:t>
                          </w:r>
                          <w:r>
                            <w:rPr>
                              <w:rStyle w:val="26"/>
                              <w:rFonts w:hint="eastAsia"/>
                              <w:b/>
                              <w:color w:val="FFFFFF"/>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2E87A81">
                    <w:pPr>
                      <w:pStyle w:val="16"/>
                      <w:rPr>
                        <w:rStyle w:val="26"/>
                        <w:b/>
                        <w:color w:val="FFFFFF"/>
                        <w:sz w:val="28"/>
                        <w:szCs w:val="28"/>
                      </w:rPr>
                    </w:pPr>
                    <w:r>
                      <w:rPr>
                        <w:rStyle w:val="26"/>
                        <w:rFonts w:hint="eastAsia"/>
                        <w:b/>
                        <w:color w:val="FFFFFF"/>
                        <w:sz w:val="28"/>
                        <w:szCs w:val="28"/>
                      </w:rPr>
                      <w:t>—</w:t>
                    </w:r>
                    <w:r>
                      <w:rPr>
                        <w:rStyle w:val="26"/>
                        <w:rFonts w:hint="eastAsia" w:ascii="宋体" w:hAnsi="宋体" w:eastAsia="宋体" w:cs="宋体"/>
                        <w:b/>
                        <w:sz w:val="28"/>
                        <w:szCs w:val="28"/>
                      </w:rPr>
                      <w:t xml:space="preserve">— </w:t>
                    </w:r>
                    <w:r>
                      <w:rPr>
                        <w:rStyle w:val="26"/>
                        <w:rFonts w:hint="eastAsia" w:ascii="宋体" w:hAnsi="宋体" w:eastAsia="宋体" w:cs="宋体"/>
                        <w:sz w:val="28"/>
                        <w:szCs w:val="28"/>
                      </w:rPr>
                      <w:fldChar w:fldCharType="begin"/>
                    </w:r>
                    <w:r>
                      <w:rPr>
                        <w:rStyle w:val="26"/>
                        <w:rFonts w:hint="eastAsia" w:ascii="宋体" w:hAnsi="宋体" w:eastAsia="宋体" w:cs="宋体"/>
                        <w:sz w:val="28"/>
                        <w:szCs w:val="28"/>
                      </w:rPr>
                      <w:instrText xml:space="preserve">PAGE  </w:instrText>
                    </w:r>
                    <w:r>
                      <w:rPr>
                        <w:rStyle w:val="26"/>
                        <w:rFonts w:hint="eastAsia" w:ascii="宋体" w:hAnsi="宋体" w:eastAsia="宋体" w:cs="宋体"/>
                        <w:sz w:val="28"/>
                        <w:szCs w:val="28"/>
                      </w:rPr>
                      <w:fldChar w:fldCharType="separate"/>
                    </w:r>
                    <w:r>
                      <w:rPr>
                        <w:rStyle w:val="26"/>
                        <w:rFonts w:hint="eastAsia" w:ascii="宋体" w:hAnsi="宋体" w:eastAsia="宋体" w:cs="宋体"/>
                        <w:sz w:val="28"/>
                        <w:szCs w:val="28"/>
                      </w:rPr>
                      <w:t>8</w:t>
                    </w:r>
                    <w:r>
                      <w:rPr>
                        <w:rStyle w:val="26"/>
                        <w:rFonts w:hint="eastAsia" w:ascii="宋体" w:hAnsi="宋体" w:eastAsia="宋体" w:cs="宋体"/>
                        <w:sz w:val="28"/>
                        <w:szCs w:val="28"/>
                      </w:rPr>
                      <w:fldChar w:fldCharType="end"/>
                    </w:r>
                    <w:r>
                      <w:rPr>
                        <w:rStyle w:val="26"/>
                        <w:rFonts w:hint="eastAsia" w:ascii="宋体" w:hAnsi="宋体" w:eastAsia="宋体" w:cs="宋体"/>
                        <w:b/>
                        <w:sz w:val="28"/>
                        <w:szCs w:val="28"/>
                      </w:rPr>
                      <w:t xml:space="preserve"> —</w:t>
                    </w:r>
                    <w:r>
                      <w:rPr>
                        <w:rStyle w:val="26"/>
                        <w:rFonts w:hint="eastAsia"/>
                        <w:b/>
                        <w:color w:val="FFFFFF"/>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7E64D">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04"/>
  <w:drawingGridVerticalSpacing w:val="29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wZmFjNDdiMTc0MmU4NjI3NTQ4MTIyODg5ZjQ4ZjAifQ=="/>
  </w:docVars>
  <w:rsids>
    <w:rsidRoot w:val="0091471F"/>
    <w:rsid w:val="0000096C"/>
    <w:rsid w:val="000E01CE"/>
    <w:rsid w:val="000E0773"/>
    <w:rsid w:val="00170D74"/>
    <w:rsid w:val="00170FB6"/>
    <w:rsid w:val="001C4648"/>
    <w:rsid w:val="001D5415"/>
    <w:rsid w:val="00267224"/>
    <w:rsid w:val="003353C3"/>
    <w:rsid w:val="00362F65"/>
    <w:rsid w:val="003C6A28"/>
    <w:rsid w:val="003D2D13"/>
    <w:rsid w:val="003F0BCF"/>
    <w:rsid w:val="0042462F"/>
    <w:rsid w:val="004706F6"/>
    <w:rsid w:val="0048683A"/>
    <w:rsid w:val="004B2D36"/>
    <w:rsid w:val="004C5B40"/>
    <w:rsid w:val="004E4F8D"/>
    <w:rsid w:val="005D3068"/>
    <w:rsid w:val="005E46FD"/>
    <w:rsid w:val="00600E52"/>
    <w:rsid w:val="00641B32"/>
    <w:rsid w:val="00695772"/>
    <w:rsid w:val="006E17E2"/>
    <w:rsid w:val="006F2F06"/>
    <w:rsid w:val="006F5697"/>
    <w:rsid w:val="007000FF"/>
    <w:rsid w:val="0070097B"/>
    <w:rsid w:val="00777A9A"/>
    <w:rsid w:val="00785C13"/>
    <w:rsid w:val="007A31FC"/>
    <w:rsid w:val="007C19A7"/>
    <w:rsid w:val="007C44C3"/>
    <w:rsid w:val="007E0BA9"/>
    <w:rsid w:val="00843122"/>
    <w:rsid w:val="008D0B86"/>
    <w:rsid w:val="008D79DA"/>
    <w:rsid w:val="0091471F"/>
    <w:rsid w:val="0095034A"/>
    <w:rsid w:val="00953C7A"/>
    <w:rsid w:val="009D0951"/>
    <w:rsid w:val="00A237C2"/>
    <w:rsid w:val="00AA4485"/>
    <w:rsid w:val="00B617D8"/>
    <w:rsid w:val="00BC4064"/>
    <w:rsid w:val="00BE6E77"/>
    <w:rsid w:val="00C11777"/>
    <w:rsid w:val="00C31D77"/>
    <w:rsid w:val="00C449D5"/>
    <w:rsid w:val="00C904ED"/>
    <w:rsid w:val="00CA0488"/>
    <w:rsid w:val="00CA0871"/>
    <w:rsid w:val="00CE063E"/>
    <w:rsid w:val="00DC1DBC"/>
    <w:rsid w:val="00DE5A1A"/>
    <w:rsid w:val="00E32516"/>
    <w:rsid w:val="00EC40D2"/>
    <w:rsid w:val="00EC73DC"/>
    <w:rsid w:val="00F2395D"/>
    <w:rsid w:val="00F64E75"/>
    <w:rsid w:val="00F7597A"/>
    <w:rsid w:val="00F873D7"/>
    <w:rsid w:val="00FC218F"/>
    <w:rsid w:val="05D55F1F"/>
    <w:rsid w:val="064222D0"/>
    <w:rsid w:val="07FB36A6"/>
    <w:rsid w:val="0B375E4F"/>
    <w:rsid w:val="0B7B44EC"/>
    <w:rsid w:val="0CC40E56"/>
    <w:rsid w:val="0CF93077"/>
    <w:rsid w:val="0D054058"/>
    <w:rsid w:val="0D5A2878"/>
    <w:rsid w:val="0E8763AA"/>
    <w:rsid w:val="0F4F2230"/>
    <w:rsid w:val="0F6639D3"/>
    <w:rsid w:val="0F8D2AD6"/>
    <w:rsid w:val="0FCA7ED1"/>
    <w:rsid w:val="10AB142F"/>
    <w:rsid w:val="10BD6382"/>
    <w:rsid w:val="10DE233C"/>
    <w:rsid w:val="11C129A2"/>
    <w:rsid w:val="14C924E0"/>
    <w:rsid w:val="16321C77"/>
    <w:rsid w:val="168057FD"/>
    <w:rsid w:val="16B335E3"/>
    <w:rsid w:val="1B9302E5"/>
    <w:rsid w:val="1BBD091F"/>
    <w:rsid w:val="1CD7383A"/>
    <w:rsid w:val="1D0C28B4"/>
    <w:rsid w:val="1D9C554C"/>
    <w:rsid w:val="1E5A6CDF"/>
    <w:rsid w:val="1EB33EEA"/>
    <w:rsid w:val="214C62A1"/>
    <w:rsid w:val="225443E0"/>
    <w:rsid w:val="235A4C09"/>
    <w:rsid w:val="25A83F09"/>
    <w:rsid w:val="268E60F7"/>
    <w:rsid w:val="280753DC"/>
    <w:rsid w:val="287570EE"/>
    <w:rsid w:val="28786C24"/>
    <w:rsid w:val="2A25395C"/>
    <w:rsid w:val="2B520548"/>
    <w:rsid w:val="2B5620E3"/>
    <w:rsid w:val="2C5530BF"/>
    <w:rsid w:val="2D221CC2"/>
    <w:rsid w:val="2F44167A"/>
    <w:rsid w:val="2FCF47FC"/>
    <w:rsid w:val="305273C9"/>
    <w:rsid w:val="30BD3260"/>
    <w:rsid w:val="310106B4"/>
    <w:rsid w:val="318601E4"/>
    <w:rsid w:val="31F74931"/>
    <w:rsid w:val="32001619"/>
    <w:rsid w:val="3224625B"/>
    <w:rsid w:val="32546D64"/>
    <w:rsid w:val="3368086F"/>
    <w:rsid w:val="33B64277"/>
    <w:rsid w:val="344127F9"/>
    <w:rsid w:val="34EA62E6"/>
    <w:rsid w:val="364B47F8"/>
    <w:rsid w:val="369F70A9"/>
    <w:rsid w:val="372E1129"/>
    <w:rsid w:val="377F2AD5"/>
    <w:rsid w:val="378B18EA"/>
    <w:rsid w:val="395A4EFF"/>
    <w:rsid w:val="39A87194"/>
    <w:rsid w:val="3A026FF3"/>
    <w:rsid w:val="3A615328"/>
    <w:rsid w:val="3AF5504C"/>
    <w:rsid w:val="3C12749A"/>
    <w:rsid w:val="3CC2183C"/>
    <w:rsid w:val="3D843BB0"/>
    <w:rsid w:val="3EE22E63"/>
    <w:rsid w:val="3F301756"/>
    <w:rsid w:val="3FAA7F0D"/>
    <w:rsid w:val="40FF07E3"/>
    <w:rsid w:val="41C362F6"/>
    <w:rsid w:val="42A37C2D"/>
    <w:rsid w:val="43D45F57"/>
    <w:rsid w:val="43D84376"/>
    <w:rsid w:val="465F4215"/>
    <w:rsid w:val="490F3073"/>
    <w:rsid w:val="4977387B"/>
    <w:rsid w:val="4AD32D10"/>
    <w:rsid w:val="4B3E6C85"/>
    <w:rsid w:val="4CC72AFC"/>
    <w:rsid w:val="4CD07524"/>
    <w:rsid w:val="4E1935FF"/>
    <w:rsid w:val="4F630A24"/>
    <w:rsid w:val="50514152"/>
    <w:rsid w:val="50C74AFB"/>
    <w:rsid w:val="51081A4A"/>
    <w:rsid w:val="515E380D"/>
    <w:rsid w:val="51954DCC"/>
    <w:rsid w:val="530A434B"/>
    <w:rsid w:val="53A33245"/>
    <w:rsid w:val="54297BF9"/>
    <w:rsid w:val="546630E1"/>
    <w:rsid w:val="55882160"/>
    <w:rsid w:val="56CD6F74"/>
    <w:rsid w:val="58B040E9"/>
    <w:rsid w:val="59260117"/>
    <w:rsid w:val="5BFF66CC"/>
    <w:rsid w:val="5C3336EA"/>
    <w:rsid w:val="5CF933B4"/>
    <w:rsid w:val="5D210677"/>
    <w:rsid w:val="5D3121C7"/>
    <w:rsid w:val="5E26750F"/>
    <w:rsid w:val="5E2A561C"/>
    <w:rsid w:val="5ED549F0"/>
    <w:rsid w:val="605B5CCE"/>
    <w:rsid w:val="605E31AF"/>
    <w:rsid w:val="60CB21A4"/>
    <w:rsid w:val="623A1A17"/>
    <w:rsid w:val="62BC725B"/>
    <w:rsid w:val="63B0179C"/>
    <w:rsid w:val="641B7D10"/>
    <w:rsid w:val="6457430E"/>
    <w:rsid w:val="64730F0B"/>
    <w:rsid w:val="64E57365"/>
    <w:rsid w:val="67111E16"/>
    <w:rsid w:val="677448D9"/>
    <w:rsid w:val="67832650"/>
    <w:rsid w:val="68527E9B"/>
    <w:rsid w:val="686851DE"/>
    <w:rsid w:val="687C1040"/>
    <w:rsid w:val="6A6E2E5A"/>
    <w:rsid w:val="6AF503DD"/>
    <w:rsid w:val="6C2710D0"/>
    <w:rsid w:val="6CBB0CD0"/>
    <w:rsid w:val="6CD7757E"/>
    <w:rsid w:val="6D4F2C2D"/>
    <w:rsid w:val="6E2A7E6E"/>
    <w:rsid w:val="6F6B2A74"/>
    <w:rsid w:val="70807521"/>
    <w:rsid w:val="71010D74"/>
    <w:rsid w:val="71D400BF"/>
    <w:rsid w:val="736921D6"/>
    <w:rsid w:val="750E434A"/>
    <w:rsid w:val="760F312A"/>
    <w:rsid w:val="766C04D6"/>
    <w:rsid w:val="77067D67"/>
    <w:rsid w:val="798058E5"/>
    <w:rsid w:val="7A861953"/>
    <w:rsid w:val="7ADC59C4"/>
    <w:rsid w:val="7C2B4268"/>
    <w:rsid w:val="7F5E000E"/>
    <w:rsid w:val="7F7B6EB5"/>
    <w:rsid w:val="7FFC2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widowControl/>
      <w:spacing w:before="480" w:line="276" w:lineRule="auto"/>
      <w:jc w:val="left"/>
      <w:outlineLvl w:val="0"/>
    </w:pPr>
    <w:rPr>
      <w:rFonts w:asciiTheme="majorHAnsi" w:hAnsiTheme="majorHAnsi" w:eastAsiaTheme="majorEastAsia" w:cstheme="majorBidi"/>
      <w:b/>
      <w:bCs/>
      <w:color w:val="376092" w:themeColor="accent1" w:themeShade="BF"/>
      <w:kern w:val="0"/>
      <w:sz w:val="28"/>
      <w:szCs w:val="28"/>
      <w:lang w:eastAsia="en-US" w:bidi="en-US"/>
    </w:rPr>
  </w:style>
  <w:style w:type="paragraph" w:styleId="4">
    <w:name w:val="heading 2"/>
    <w:basedOn w:val="1"/>
    <w:next w:val="1"/>
    <w:link w:val="30"/>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F81BD" w:themeColor="accent1"/>
      <w:kern w:val="0"/>
      <w:sz w:val="26"/>
      <w:szCs w:val="26"/>
      <w:lang w:eastAsia="en-US" w:bidi="en-US"/>
      <w14:textFill>
        <w14:solidFill>
          <w14:schemeClr w14:val="accent1"/>
        </w14:solidFill>
      </w14:textFill>
    </w:rPr>
  </w:style>
  <w:style w:type="paragraph" w:styleId="5">
    <w:name w:val="heading 3"/>
    <w:basedOn w:val="1"/>
    <w:next w:val="1"/>
    <w:link w:val="31"/>
    <w:semiHidden/>
    <w:unhideWhenUsed/>
    <w:qFormat/>
    <w:uiPriority w:val="9"/>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lang w:eastAsia="en-US" w:bidi="en-US"/>
      <w14:textFill>
        <w14:solidFill>
          <w14:schemeClr w14:val="accent1"/>
        </w14:solidFill>
      </w14:textFill>
    </w:rPr>
  </w:style>
  <w:style w:type="paragraph" w:styleId="6">
    <w:name w:val="heading 4"/>
    <w:basedOn w:val="1"/>
    <w:next w:val="1"/>
    <w:link w:val="32"/>
    <w:semiHidden/>
    <w:unhideWhenUsed/>
    <w:qFormat/>
    <w:uiPriority w:val="9"/>
    <w:pPr>
      <w:keepNext/>
      <w:keepLines/>
      <w:widowControl/>
      <w:spacing w:before="200" w:line="276" w:lineRule="auto"/>
      <w:jc w:val="left"/>
      <w:outlineLvl w:val="3"/>
    </w:pPr>
    <w:rPr>
      <w:rFonts w:asciiTheme="majorHAnsi" w:hAnsiTheme="majorHAnsi" w:eastAsiaTheme="majorEastAsia" w:cstheme="majorBidi"/>
      <w:b/>
      <w:bCs/>
      <w:i/>
      <w:iCs/>
      <w:color w:val="4F81BD" w:themeColor="accent1"/>
      <w:kern w:val="0"/>
      <w:sz w:val="22"/>
      <w:szCs w:val="22"/>
      <w:lang w:eastAsia="en-US" w:bidi="en-US"/>
      <w14:textFill>
        <w14:solidFill>
          <w14:schemeClr w14:val="accent1"/>
        </w14:solidFill>
      </w14:textFill>
    </w:rPr>
  </w:style>
  <w:style w:type="paragraph" w:styleId="7">
    <w:name w:val="heading 5"/>
    <w:basedOn w:val="1"/>
    <w:next w:val="1"/>
    <w:link w:val="33"/>
    <w:semiHidden/>
    <w:unhideWhenUsed/>
    <w:qFormat/>
    <w:uiPriority w:val="9"/>
    <w:pPr>
      <w:keepNext/>
      <w:keepLines/>
      <w:widowControl/>
      <w:spacing w:before="200" w:line="276" w:lineRule="auto"/>
      <w:jc w:val="left"/>
      <w:outlineLvl w:val="4"/>
    </w:pPr>
    <w:rPr>
      <w:rFonts w:asciiTheme="majorHAnsi" w:hAnsiTheme="majorHAnsi" w:eastAsiaTheme="majorEastAsia" w:cstheme="majorBidi"/>
      <w:color w:val="254061" w:themeColor="accent1" w:themeShade="80"/>
      <w:kern w:val="0"/>
      <w:sz w:val="22"/>
      <w:szCs w:val="22"/>
      <w:lang w:eastAsia="en-US" w:bidi="en-US"/>
    </w:rPr>
  </w:style>
  <w:style w:type="paragraph" w:styleId="8">
    <w:name w:val="heading 6"/>
    <w:basedOn w:val="1"/>
    <w:next w:val="1"/>
    <w:link w:val="34"/>
    <w:semiHidden/>
    <w:unhideWhenUsed/>
    <w:qFormat/>
    <w:uiPriority w:val="9"/>
    <w:pPr>
      <w:keepNext/>
      <w:keepLines/>
      <w:widowControl/>
      <w:spacing w:before="200" w:line="276" w:lineRule="auto"/>
      <w:jc w:val="left"/>
      <w:outlineLvl w:val="5"/>
    </w:pPr>
    <w:rPr>
      <w:rFonts w:asciiTheme="majorHAnsi" w:hAnsiTheme="majorHAnsi" w:eastAsiaTheme="majorEastAsia" w:cstheme="majorBidi"/>
      <w:i/>
      <w:iCs/>
      <w:color w:val="254061" w:themeColor="accent1" w:themeShade="80"/>
      <w:kern w:val="0"/>
      <w:sz w:val="22"/>
      <w:szCs w:val="22"/>
      <w:lang w:eastAsia="en-US" w:bidi="en-US"/>
    </w:rPr>
  </w:style>
  <w:style w:type="paragraph" w:styleId="9">
    <w:name w:val="heading 7"/>
    <w:basedOn w:val="1"/>
    <w:next w:val="1"/>
    <w:link w:val="35"/>
    <w:semiHidden/>
    <w:unhideWhenUsed/>
    <w:qFormat/>
    <w:uiPriority w:val="9"/>
    <w:pPr>
      <w:keepNext/>
      <w:keepLines/>
      <w:widowControl/>
      <w:spacing w:before="200" w:line="276" w:lineRule="auto"/>
      <w:jc w:val="left"/>
      <w:outlineLvl w:val="6"/>
    </w:pPr>
    <w:rPr>
      <w:rFonts w:asciiTheme="majorHAnsi" w:hAnsiTheme="majorHAnsi" w:eastAsiaTheme="majorEastAsia" w:cstheme="majorBidi"/>
      <w:i/>
      <w:iCs/>
      <w:color w:val="404040" w:themeColor="text1" w:themeTint="BF"/>
      <w:kern w:val="0"/>
      <w:sz w:val="22"/>
      <w:szCs w:val="22"/>
      <w:lang w:eastAsia="en-US" w:bidi="en-US"/>
      <w14:textFill>
        <w14:solidFill>
          <w14:schemeClr w14:val="tx1">
            <w14:lumMod w14:val="75000"/>
            <w14:lumOff w14:val="25000"/>
          </w14:schemeClr>
        </w14:solidFill>
      </w14:textFill>
    </w:rPr>
  </w:style>
  <w:style w:type="paragraph" w:styleId="10">
    <w:name w:val="heading 8"/>
    <w:basedOn w:val="1"/>
    <w:next w:val="1"/>
    <w:link w:val="36"/>
    <w:semiHidden/>
    <w:unhideWhenUsed/>
    <w:qFormat/>
    <w:uiPriority w:val="9"/>
    <w:pPr>
      <w:keepNext/>
      <w:keepLines/>
      <w:widowControl/>
      <w:spacing w:before="200" w:line="276" w:lineRule="auto"/>
      <w:jc w:val="left"/>
      <w:outlineLvl w:val="7"/>
    </w:pPr>
    <w:rPr>
      <w:rFonts w:asciiTheme="majorHAnsi" w:hAnsiTheme="majorHAnsi" w:eastAsiaTheme="majorEastAsia" w:cstheme="majorBidi"/>
      <w:color w:val="4F81BD" w:themeColor="accent1"/>
      <w:kern w:val="0"/>
      <w:sz w:val="20"/>
      <w:szCs w:val="20"/>
      <w:lang w:eastAsia="en-US" w:bidi="en-US"/>
      <w14:textFill>
        <w14:solidFill>
          <w14:schemeClr w14:val="accent1"/>
        </w14:solidFill>
      </w14:textFill>
    </w:rPr>
  </w:style>
  <w:style w:type="paragraph" w:styleId="11">
    <w:name w:val="heading 9"/>
    <w:basedOn w:val="1"/>
    <w:next w:val="1"/>
    <w:link w:val="37"/>
    <w:semiHidden/>
    <w:unhideWhenUsed/>
    <w:qFormat/>
    <w:uiPriority w:val="9"/>
    <w:pPr>
      <w:keepNext/>
      <w:keepLines/>
      <w:widowControl/>
      <w:spacing w:before="200" w:line="276" w:lineRule="auto"/>
      <w:jc w:val="left"/>
      <w:outlineLvl w:val="8"/>
    </w:pPr>
    <w:rPr>
      <w:rFonts w:asciiTheme="majorHAnsi" w:hAnsiTheme="majorHAnsi" w:eastAsiaTheme="majorEastAsia" w:cstheme="majorBidi"/>
      <w:i/>
      <w:iCs/>
      <w:color w:val="404040" w:themeColor="text1" w:themeTint="BF"/>
      <w:kern w:val="0"/>
      <w:sz w:val="20"/>
      <w:szCs w:val="20"/>
      <w:lang w:eastAsia="en-US" w:bidi="en-US"/>
      <w14:textFill>
        <w14:solidFill>
          <w14:schemeClr w14:val="tx1">
            <w14:lumMod w14:val="75000"/>
            <w14:lumOff w14:val="25000"/>
          </w14:schemeClr>
        </w14:solidFill>
      </w14:textFill>
    </w:rPr>
  </w:style>
  <w:style w:type="character" w:default="1" w:styleId="24">
    <w:name w:val="Default Paragraph Font"/>
    <w:autoRedefine/>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spacing w:line="500" w:lineRule="exact"/>
      <w:ind w:right="8" w:rightChars="8" w:firstLine="640"/>
    </w:pPr>
    <w:rPr>
      <w:rFonts w:ascii="楷体_GB2312" w:eastAsia="楷体_GB2312"/>
      <w:szCs w:val="32"/>
    </w:rPr>
  </w:style>
  <w:style w:type="paragraph" w:styleId="12">
    <w:name w:val="caption"/>
    <w:basedOn w:val="1"/>
    <w:next w:val="1"/>
    <w:semiHidden/>
    <w:unhideWhenUsed/>
    <w:qFormat/>
    <w:uiPriority w:val="35"/>
    <w:pPr>
      <w:widowControl/>
      <w:spacing w:after="200"/>
      <w:jc w:val="left"/>
    </w:pPr>
    <w:rPr>
      <w:rFonts w:asciiTheme="minorHAnsi" w:hAnsiTheme="minorHAnsi" w:eastAsiaTheme="minorEastAsia" w:cstheme="minorBidi"/>
      <w:b/>
      <w:bCs/>
      <w:color w:val="4F81BD" w:themeColor="accent1"/>
      <w:kern w:val="0"/>
      <w:sz w:val="18"/>
      <w:szCs w:val="18"/>
      <w:lang w:eastAsia="en-US" w:bidi="en-US"/>
      <w14:textFill>
        <w14:solidFill>
          <w14:schemeClr w14:val="accent1"/>
        </w14:solidFill>
      </w14:textFill>
    </w:rPr>
  </w:style>
  <w:style w:type="paragraph" w:styleId="13">
    <w:name w:val="Body Text"/>
    <w:basedOn w:val="1"/>
    <w:semiHidden/>
    <w:qFormat/>
    <w:uiPriority w:val="0"/>
    <w:rPr>
      <w:rFonts w:ascii="Arial" w:hAnsi="Arial" w:eastAsia="Arial" w:cs="Arial"/>
      <w:sz w:val="26"/>
      <w:szCs w:val="26"/>
      <w:lang w:val="en-US" w:eastAsia="en-US" w:bidi="ar-SA"/>
    </w:rPr>
  </w:style>
  <w:style w:type="paragraph" w:styleId="14">
    <w:name w:val="Plain Text"/>
    <w:basedOn w:val="1"/>
    <w:unhideWhenUsed/>
    <w:qFormat/>
    <w:uiPriority w:val="0"/>
    <w:rPr>
      <w:rFonts w:ascii="宋体" w:hAnsi="Courier New" w:eastAsia="宋体" w:cs="Courier New"/>
      <w:sz w:val="21"/>
      <w:szCs w:val="21"/>
    </w:rPr>
  </w:style>
  <w:style w:type="paragraph" w:styleId="15">
    <w:name w:val="Date"/>
    <w:basedOn w:val="1"/>
    <w:next w:val="1"/>
    <w:link w:val="53"/>
    <w:qFormat/>
    <w:uiPriority w:val="0"/>
    <w:pPr>
      <w:ind w:left="100" w:leftChars="2500"/>
    </w:pPr>
  </w:style>
  <w:style w:type="paragraph" w:styleId="16">
    <w:name w:val="footer"/>
    <w:basedOn w:val="1"/>
    <w:link w:val="28"/>
    <w:qFormat/>
    <w:uiPriority w:val="99"/>
    <w:pPr>
      <w:widowControl/>
      <w:tabs>
        <w:tab w:val="center" w:pos="4153"/>
        <w:tab w:val="right" w:pos="8306"/>
      </w:tabs>
      <w:snapToGrid w:val="0"/>
      <w:spacing w:after="200" w:line="276" w:lineRule="auto"/>
      <w:jc w:val="left"/>
    </w:pPr>
    <w:rPr>
      <w:rFonts w:asciiTheme="minorHAnsi" w:hAnsiTheme="minorHAnsi" w:eastAsiaTheme="minorEastAsia" w:cstheme="minorBidi"/>
      <w:kern w:val="0"/>
      <w:sz w:val="18"/>
      <w:szCs w:val="18"/>
      <w:lang w:eastAsia="en-US" w:bidi="en-US"/>
    </w:rPr>
  </w:style>
  <w:style w:type="paragraph" w:styleId="17">
    <w:name w:val="header"/>
    <w:basedOn w:val="1"/>
    <w:qFormat/>
    <w:uiPriority w:val="0"/>
    <w:pPr>
      <w:widowControl/>
      <w:pBdr>
        <w:bottom w:val="single" w:color="auto" w:sz="6" w:space="1"/>
      </w:pBdr>
      <w:tabs>
        <w:tab w:val="center" w:pos="4153"/>
        <w:tab w:val="right" w:pos="8306"/>
      </w:tabs>
      <w:snapToGrid w:val="0"/>
      <w:spacing w:after="200" w:line="276" w:lineRule="auto"/>
      <w:jc w:val="center"/>
    </w:pPr>
    <w:rPr>
      <w:rFonts w:asciiTheme="minorHAnsi" w:hAnsiTheme="minorHAnsi" w:eastAsiaTheme="minorEastAsia" w:cstheme="minorBidi"/>
      <w:kern w:val="0"/>
      <w:sz w:val="18"/>
      <w:szCs w:val="18"/>
      <w:lang w:eastAsia="en-US" w:bidi="en-US"/>
    </w:rPr>
  </w:style>
  <w:style w:type="paragraph" w:styleId="18">
    <w:name w:val="Subtitle"/>
    <w:basedOn w:val="1"/>
    <w:next w:val="1"/>
    <w:link w:val="39"/>
    <w:qFormat/>
    <w:uiPriority w:val="11"/>
    <w:pPr>
      <w:widowControl/>
      <w:spacing w:after="200" w:line="276" w:lineRule="auto"/>
      <w:jc w:val="left"/>
    </w:pPr>
    <w:rPr>
      <w:rFonts w:asciiTheme="majorHAnsi" w:hAnsiTheme="majorHAnsi" w:eastAsiaTheme="majorEastAsia" w:cstheme="majorBidi"/>
      <w:i/>
      <w:iCs/>
      <w:color w:val="4F81BD" w:themeColor="accent1"/>
      <w:spacing w:val="15"/>
      <w:kern w:val="0"/>
      <w:sz w:val="24"/>
      <w:lang w:eastAsia="en-US" w:bidi="en-US"/>
      <w14:textFill>
        <w14:solidFill>
          <w14:schemeClr w14:val="accent1"/>
        </w14:solidFill>
      </w14:textFill>
    </w:rPr>
  </w:style>
  <w:style w:type="paragraph" w:styleId="1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1"/>
    <w:next w:val="1"/>
    <w:link w:val="38"/>
    <w:qFormat/>
    <w:uiPriority w:val="10"/>
    <w:pPr>
      <w:widowControl/>
      <w:pBdr>
        <w:bottom w:val="single" w:color="4F81BD" w:themeColor="accent1" w:sz="8" w:space="4"/>
      </w:pBdr>
      <w:spacing w:after="300"/>
      <w:contextualSpacing/>
      <w:jc w:val="left"/>
    </w:pPr>
    <w:rPr>
      <w:rFonts w:asciiTheme="majorHAnsi" w:hAnsiTheme="majorHAnsi" w:eastAsiaTheme="majorEastAsia" w:cstheme="majorBidi"/>
      <w:color w:val="17375E" w:themeColor="text2" w:themeShade="BF"/>
      <w:spacing w:val="5"/>
      <w:kern w:val="28"/>
      <w:sz w:val="52"/>
      <w:szCs w:val="52"/>
      <w:lang w:eastAsia="en-US" w:bidi="en-US"/>
    </w:rPr>
  </w:style>
  <w:style w:type="paragraph" w:styleId="21">
    <w:name w:val="Body Text First Indent 2"/>
    <w:basedOn w:val="13"/>
    <w:next w:val="1"/>
    <w:qFormat/>
    <w:uiPriority w:val="0"/>
    <w:pPr>
      <w:ind w:firstLine="420" w:firstLineChars="200"/>
      <w:jc w:val="left"/>
    </w:pPr>
    <w:rPr>
      <w:rFonts w:ascii="方正仿宋_GBK" w:hAnsi="方正仿宋_GBK" w:eastAsia="方正仿宋_GBK" w:cs="Times New Roman"/>
      <w:bCs/>
      <w:sz w:val="32"/>
    </w:rPr>
  </w:style>
  <w:style w:type="table" w:styleId="23">
    <w:name w:val="Table Grid"/>
    <w:basedOn w:val="22"/>
    <w:qFormat/>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22"/>
    <w:rPr>
      <w:b/>
      <w:bCs/>
    </w:rPr>
  </w:style>
  <w:style w:type="character" w:styleId="26">
    <w:name w:val="page number"/>
    <w:basedOn w:val="24"/>
    <w:qFormat/>
    <w:uiPriority w:val="0"/>
  </w:style>
  <w:style w:type="character" w:styleId="27">
    <w:name w:val="Emphasis"/>
    <w:basedOn w:val="24"/>
    <w:qFormat/>
    <w:uiPriority w:val="20"/>
    <w:rPr>
      <w:i/>
      <w:iCs/>
    </w:rPr>
  </w:style>
  <w:style w:type="character" w:customStyle="1" w:styleId="28">
    <w:name w:val="页脚 Char"/>
    <w:basedOn w:val="24"/>
    <w:link w:val="16"/>
    <w:qFormat/>
    <w:uiPriority w:val="99"/>
    <w:rPr>
      <w:rFonts w:eastAsia="仿宋_GB2312"/>
      <w:kern w:val="2"/>
      <w:sz w:val="18"/>
      <w:szCs w:val="18"/>
    </w:rPr>
  </w:style>
  <w:style w:type="character" w:customStyle="1" w:styleId="29">
    <w:name w:val="标题 1 Char"/>
    <w:basedOn w:val="2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30">
    <w:name w:val="标题 2 Char"/>
    <w:basedOn w:val="24"/>
    <w:link w:val="4"/>
    <w:semiHidden/>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1">
    <w:name w:val="标题 3 Char"/>
    <w:basedOn w:val="2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32">
    <w:name w:val="标题 4 Char"/>
    <w:basedOn w:val="24"/>
    <w:link w:val="6"/>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33">
    <w:name w:val="标题 5 Char"/>
    <w:basedOn w:val="24"/>
    <w:link w:val="7"/>
    <w:qFormat/>
    <w:uiPriority w:val="9"/>
    <w:rPr>
      <w:rFonts w:asciiTheme="majorHAnsi" w:hAnsiTheme="majorHAnsi" w:eastAsiaTheme="majorEastAsia" w:cstheme="majorBidi"/>
      <w:color w:val="254061" w:themeColor="accent1" w:themeShade="80"/>
    </w:rPr>
  </w:style>
  <w:style w:type="character" w:customStyle="1" w:styleId="34">
    <w:name w:val="标题 6 Char"/>
    <w:basedOn w:val="24"/>
    <w:link w:val="8"/>
    <w:qFormat/>
    <w:uiPriority w:val="9"/>
    <w:rPr>
      <w:rFonts w:asciiTheme="majorHAnsi" w:hAnsiTheme="majorHAnsi" w:eastAsiaTheme="majorEastAsia" w:cstheme="majorBidi"/>
      <w:i/>
      <w:iCs/>
      <w:color w:val="254061" w:themeColor="accent1" w:themeShade="80"/>
    </w:rPr>
  </w:style>
  <w:style w:type="character" w:customStyle="1" w:styleId="35">
    <w:name w:val="标题 7 Char"/>
    <w:basedOn w:val="24"/>
    <w:link w:val="9"/>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36">
    <w:name w:val="标题 8 Char"/>
    <w:basedOn w:val="24"/>
    <w:link w:val="10"/>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37">
    <w:name w:val="标题 9 Char"/>
    <w:basedOn w:val="24"/>
    <w:link w:val="11"/>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38">
    <w:name w:val="标题 Char"/>
    <w:basedOn w:val="24"/>
    <w:link w:val="20"/>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9">
    <w:name w:val="副标题 Char"/>
    <w:basedOn w:val="24"/>
    <w:link w:val="1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0">
    <w:name w:val="No Spacing"/>
    <w:qFormat/>
    <w:uiPriority w:val="1"/>
    <w:pPr>
      <w:spacing w:after="0" w:line="240" w:lineRule="auto"/>
    </w:pPr>
    <w:rPr>
      <w:rFonts w:asciiTheme="minorHAnsi" w:hAnsiTheme="minorHAnsi" w:eastAsiaTheme="minorEastAsia" w:cstheme="minorBidi"/>
      <w:sz w:val="22"/>
      <w:szCs w:val="22"/>
      <w:lang w:val="en-US" w:eastAsia="en-US" w:bidi="en-US"/>
    </w:rPr>
  </w:style>
  <w:style w:type="paragraph" w:styleId="41">
    <w:name w:val="List Paragraph"/>
    <w:basedOn w:val="1"/>
    <w:qFormat/>
    <w:uiPriority w:val="34"/>
    <w:pPr>
      <w:widowControl/>
      <w:spacing w:after="200" w:line="276" w:lineRule="auto"/>
      <w:ind w:left="720"/>
      <w:contextualSpacing/>
      <w:jc w:val="left"/>
    </w:pPr>
    <w:rPr>
      <w:rFonts w:asciiTheme="minorHAnsi" w:hAnsiTheme="minorHAnsi" w:eastAsiaTheme="minorEastAsia" w:cstheme="minorBidi"/>
      <w:kern w:val="0"/>
      <w:sz w:val="22"/>
      <w:szCs w:val="22"/>
      <w:lang w:eastAsia="en-US" w:bidi="en-US"/>
    </w:rPr>
  </w:style>
  <w:style w:type="paragraph" w:styleId="42">
    <w:name w:val="Quote"/>
    <w:basedOn w:val="1"/>
    <w:next w:val="1"/>
    <w:link w:val="43"/>
    <w:qFormat/>
    <w:uiPriority w:val="29"/>
    <w:pPr>
      <w:widowControl/>
      <w:spacing w:after="200" w:line="276" w:lineRule="auto"/>
      <w:jc w:val="left"/>
    </w:pPr>
    <w:rPr>
      <w:rFonts w:asciiTheme="minorHAnsi" w:hAnsiTheme="minorHAnsi" w:eastAsiaTheme="minorEastAsia" w:cstheme="minorBidi"/>
      <w:i/>
      <w:iCs/>
      <w:color w:val="000000" w:themeColor="text1"/>
      <w:kern w:val="0"/>
      <w:sz w:val="22"/>
      <w:szCs w:val="22"/>
      <w:lang w:eastAsia="en-US" w:bidi="en-US"/>
      <w14:textFill>
        <w14:solidFill>
          <w14:schemeClr w14:val="tx1"/>
        </w14:solidFill>
      </w14:textFill>
    </w:rPr>
  </w:style>
  <w:style w:type="character" w:customStyle="1" w:styleId="43">
    <w:name w:val="引用 Char"/>
    <w:basedOn w:val="24"/>
    <w:link w:val="42"/>
    <w:qFormat/>
    <w:uiPriority w:val="29"/>
    <w:rPr>
      <w:i/>
      <w:iCs/>
      <w:color w:val="000000" w:themeColor="text1"/>
      <w14:textFill>
        <w14:solidFill>
          <w14:schemeClr w14:val="tx1"/>
        </w14:solidFill>
      </w14:textFill>
    </w:rPr>
  </w:style>
  <w:style w:type="paragraph" w:styleId="44">
    <w:name w:val="Intense Quote"/>
    <w:basedOn w:val="1"/>
    <w:next w:val="1"/>
    <w:link w:val="45"/>
    <w:qFormat/>
    <w:uiPriority w:val="30"/>
    <w:pPr>
      <w:widowControl/>
      <w:pBdr>
        <w:bottom w:val="single" w:color="4F81BD" w:themeColor="accent1" w:sz="4" w:space="4"/>
      </w:pBdr>
      <w:spacing w:before="200" w:after="280" w:line="276" w:lineRule="auto"/>
      <w:ind w:left="936" w:right="936"/>
      <w:jc w:val="left"/>
    </w:pPr>
    <w:rPr>
      <w:rFonts w:asciiTheme="minorHAnsi" w:hAnsiTheme="minorHAnsi" w:eastAsiaTheme="minorEastAsia" w:cstheme="minorBidi"/>
      <w:b/>
      <w:bCs/>
      <w:i/>
      <w:iCs/>
      <w:color w:val="4F81BD" w:themeColor="accent1"/>
      <w:kern w:val="0"/>
      <w:sz w:val="22"/>
      <w:szCs w:val="22"/>
      <w:lang w:eastAsia="en-US" w:bidi="en-US"/>
      <w14:textFill>
        <w14:solidFill>
          <w14:schemeClr w14:val="accent1"/>
        </w14:solidFill>
      </w14:textFill>
    </w:rPr>
  </w:style>
  <w:style w:type="character" w:customStyle="1" w:styleId="45">
    <w:name w:val="明显引用 Char"/>
    <w:basedOn w:val="24"/>
    <w:link w:val="44"/>
    <w:qFormat/>
    <w:uiPriority w:val="30"/>
    <w:rPr>
      <w:b/>
      <w:bCs/>
      <w:i/>
      <w:iCs/>
      <w:color w:val="4F81BD" w:themeColor="accent1"/>
      <w14:textFill>
        <w14:solidFill>
          <w14:schemeClr w14:val="accent1"/>
        </w14:solidFill>
      </w14:textFill>
    </w:rPr>
  </w:style>
  <w:style w:type="character" w:customStyle="1" w:styleId="46">
    <w:name w:val="Subtle Emphasis"/>
    <w:basedOn w:val="24"/>
    <w:qFormat/>
    <w:uiPriority w:val="19"/>
    <w:rPr>
      <w:i/>
      <w:iCs/>
      <w:color w:val="808080" w:themeColor="text1" w:themeTint="80"/>
      <w14:textFill>
        <w14:solidFill>
          <w14:schemeClr w14:val="tx1">
            <w14:lumMod w14:val="50000"/>
            <w14:lumOff w14:val="50000"/>
          </w14:schemeClr>
        </w14:solidFill>
      </w14:textFill>
    </w:rPr>
  </w:style>
  <w:style w:type="character" w:customStyle="1" w:styleId="47">
    <w:name w:val="Intense Emphasis"/>
    <w:basedOn w:val="24"/>
    <w:qFormat/>
    <w:uiPriority w:val="21"/>
    <w:rPr>
      <w:b/>
      <w:bCs/>
      <w:i/>
      <w:iCs/>
      <w:color w:val="4F81BD" w:themeColor="accent1"/>
      <w14:textFill>
        <w14:solidFill>
          <w14:schemeClr w14:val="accent1"/>
        </w14:solidFill>
      </w14:textFill>
    </w:rPr>
  </w:style>
  <w:style w:type="character" w:customStyle="1" w:styleId="48">
    <w:name w:val="Subtle Reference"/>
    <w:basedOn w:val="24"/>
    <w:qFormat/>
    <w:uiPriority w:val="31"/>
    <w:rPr>
      <w:smallCaps/>
      <w:color w:val="C0504D" w:themeColor="accent2"/>
      <w:u w:val="single"/>
      <w14:textFill>
        <w14:solidFill>
          <w14:schemeClr w14:val="accent2"/>
        </w14:solidFill>
      </w14:textFill>
    </w:rPr>
  </w:style>
  <w:style w:type="character" w:customStyle="1" w:styleId="49">
    <w:name w:val="Intense Reference"/>
    <w:basedOn w:val="24"/>
    <w:qFormat/>
    <w:uiPriority w:val="32"/>
    <w:rPr>
      <w:b/>
      <w:bCs/>
      <w:smallCaps/>
      <w:color w:val="C0504D" w:themeColor="accent2"/>
      <w:spacing w:val="5"/>
      <w:u w:val="single"/>
      <w14:textFill>
        <w14:solidFill>
          <w14:schemeClr w14:val="accent2"/>
        </w14:solidFill>
      </w14:textFill>
    </w:rPr>
  </w:style>
  <w:style w:type="character" w:customStyle="1" w:styleId="50">
    <w:name w:val="Book Title"/>
    <w:basedOn w:val="24"/>
    <w:qFormat/>
    <w:uiPriority w:val="33"/>
    <w:rPr>
      <w:b/>
      <w:bCs/>
      <w:smallCaps/>
      <w:spacing w:val="5"/>
    </w:rPr>
  </w:style>
  <w:style w:type="paragraph" w:customStyle="1" w:styleId="51">
    <w:name w:val="TOC Heading"/>
    <w:basedOn w:val="3"/>
    <w:next w:val="1"/>
    <w:semiHidden/>
    <w:unhideWhenUsed/>
    <w:qFormat/>
    <w:uiPriority w:val="39"/>
    <w:pPr>
      <w:outlineLvl w:val="9"/>
    </w:pPr>
  </w:style>
  <w:style w:type="paragraph" w:customStyle="1" w:styleId="52">
    <w:name w:val="p0"/>
    <w:basedOn w:val="1"/>
    <w:qFormat/>
    <w:uiPriority w:val="0"/>
    <w:pPr>
      <w:widowControl/>
    </w:pPr>
    <w:rPr>
      <w:rFonts w:hint="eastAsia"/>
    </w:rPr>
  </w:style>
  <w:style w:type="character" w:customStyle="1" w:styleId="53">
    <w:name w:val="日期 Char"/>
    <w:basedOn w:val="24"/>
    <w:link w:val="15"/>
    <w:qFormat/>
    <w:uiPriority w:val="0"/>
    <w:rPr>
      <w:rFonts w:ascii="Times New Roman" w:hAnsi="Times New Roman" w:eastAsia="宋体" w:cs="Times New Roman"/>
      <w:kern w:val="2"/>
      <w:sz w:val="21"/>
      <w:szCs w:val="24"/>
      <w:lang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3961</Words>
  <Characters>4073</Characters>
  <Lines>20</Lines>
  <Paragraphs>5</Paragraphs>
  <TotalTime>0</TotalTime>
  <ScaleCrop>false</ScaleCrop>
  <LinksUpToDate>false</LinksUpToDate>
  <CharactersWithSpaces>4077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2020-06-22T02:06:00Z</dcterms:created>
  <dc:creator>Microsoft</dc:creator>
  <cp:lastModifiedBy>风云再起</cp:lastModifiedBy>
  <cp:lastPrinted>2026-10-19T01:27:00Z</cp:lastPrinted>
  <dcterms:modified xsi:type="dcterms:W3CDTF">2026-10-26T08:13:44Z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33987F5B65B64FEAA177D30B3C5B1822_13</vt:lpwstr>
  </property>
  <property fmtid="{D5CDD505-2E9C-101B-9397-08002B2CF9AE}" pid="4" name="KSOTemplateDocerSaveRecord">
    <vt:lpwstr>eyJoZGlkIjoiYTY3N2I3YjMyZjQ4NGE4ZTMwYzk5NmFjODVjOWNiM2YiLCJ1c2VySWQiOiI2NTQyNzQ4NjkifQ==</vt:lpwstr>
  </property>
</Properties>
</file>