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70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left"/>
        <w:textAlignment w:val="auto"/>
        <w:rPr>
          <w:rFonts w:hint="default" w:ascii="黑体" w:hAnsi="黑体" w:eastAsia="黑体" w:cs="黑体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附件1</w:t>
      </w:r>
      <w:bookmarkStart w:id="0" w:name="_GoBack"/>
      <w:bookmarkEnd w:id="0"/>
    </w:p>
    <w:p w14:paraId="5F7E6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eastAsia" w:ascii="宋体" w:hAnsi="宋体" w:eastAsia="方正小标宋简体"/>
          <w:bCs/>
          <w:kern w:val="0"/>
          <w:sz w:val="44"/>
          <w:szCs w:val="44"/>
          <w:lang w:eastAsia="zh-CN"/>
        </w:rPr>
      </w:pPr>
      <w:r>
        <w:rPr>
          <w:rFonts w:hint="eastAsia" w:ascii="宋体" w:hAnsi="宋体" w:eastAsia="方正小标宋简体"/>
          <w:bCs/>
          <w:kern w:val="0"/>
          <w:sz w:val="44"/>
          <w:szCs w:val="44"/>
        </w:rPr>
        <w:t>恩平市烟花爆竹经营（零售）</w:t>
      </w:r>
      <w:r>
        <w:rPr>
          <w:rFonts w:hint="eastAsia" w:ascii="宋体" w:hAnsi="宋体" w:eastAsia="方正小标宋简体"/>
          <w:color w:val="000000"/>
          <w:sz w:val="44"/>
          <w:szCs w:val="44"/>
        </w:rPr>
        <w:t>布点规划方案</w:t>
      </w:r>
    </w:p>
    <w:p w14:paraId="637999FF"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rPr>
          <w:rFonts w:hint="eastAsia" w:ascii="宋体" w:hAnsi="宋体" w:eastAsia="楷体_GB2312" w:cs="楷体_GB2312"/>
          <w:sz w:val="32"/>
          <w:szCs w:val="32"/>
          <w:lang w:eastAsia="zh-CN"/>
        </w:rPr>
      </w:pPr>
      <w:r>
        <w:rPr>
          <w:rFonts w:hint="eastAsia" w:ascii="宋体" w:hAnsi="宋体" w:eastAsia="方正小标宋简体"/>
          <w:bCs/>
          <w:kern w:val="0"/>
          <w:sz w:val="44"/>
          <w:szCs w:val="44"/>
          <w:lang w:eastAsia="zh-CN"/>
        </w:rPr>
        <w:t>（</w:t>
      </w:r>
      <w:r>
        <w:rPr>
          <w:rFonts w:hint="eastAsia" w:ascii="宋体" w:hAnsi="宋体" w:eastAsia="方正小标宋简体"/>
          <w:bCs/>
          <w:kern w:val="0"/>
          <w:sz w:val="44"/>
          <w:szCs w:val="44"/>
          <w:lang w:val="en-US" w:eastAsia="zh-CN"/>
        </w:rPr>
        <w:t>2026年修订</w:t>
      </w:r>
      <w:r>
        <w:rPr>
          <w:rFonts w:hint="eastAsia" w:ascii="宋体" w:hAnsi="宋体" w:eastAsia="方正小标宋简体"/>
          <w:bCs/>
          <w:kern w:val="0"/>
          <w:sz w:val="44"/>
          <w:szCs w:val="44"/>
          <w:lang w:eastAsia="zh-CN"/>
        </w:rPr>
        <w:t>）</w:t>
      </w:r>
      <w:r>
        <w:rPr>
          <w:rFonts w:hint="eastAsia" w:ascii="宋体" w:hAnsi="宋体" w:eastAsia="方正小标宋简体"/>
          <w:bCs/>
          <w:kern w:val="0"/>
          <w:sz w:val="44"/>
          <w:szCs w:val="44"/>
          <w:lang w:val="en-US" w:eastAsia="zh-CN"/>
        </w:rPr>
        <w:t>（第二次征求意见稿）</w:t>
      </w:r>
    </w:p>
    <w:p w14:paraId="1F349EA5"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宋体" w:hAnsi="宋体" w:eastAsia="仿宋_GB2312" w:cs="仿宋"/>
          <w:sz w:val="32"/>
          <w:szCs w:val="32"/>
          <w:lang w:eastAsia="zh-CN"/>
        </w:rPr>
      </w:pPr>
    </w:p>
    <w:p w14:paraId="2B7B2D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>为加强烟花爆竹零售经营安全管理工作，推动烟花爆竹行业规范、安全发展，根据《中华人民共和国安全生产法》</w:t>
      </w:r>
      <w:r>
        <w:rPr>
          <w:rFonts w:hint="eastAsia" w:ascii="宋体" w:hAnsi="宋体" w:eastAsia="仿宋_GB2312"/>
          <w:sz w:val="32"/>
          <w:szCs w:val="32"/>
          <w:lang w:eastAsia="zh-CN"/>
        </w:rPr>
        <w:t>、</w:t>
      </w:r>
      <w:r>
        <w:rPr>
          <w:rFonts w:hint="eastAsia" w:ascii="宋体" w:hAnsi="宋体" w:eastAsia="仿宋_GB2312"/>
          <w:sz w:val="32"/>
          <w:szCs w:val="32"/>
        </w:rPr>
        <w:t>《烟花爆竹安全管理条例》（国务院令第455号）、《烟花爆竹经营许可实施办法》（原国家安全生产监督管理总局令第65号）、《广东省安全生产监督管理局关于烟花爆竹经营许可的实施细则》（粤安监〔2014〕44号）</w:t>
      </w:r>
      <w:r>
        <w:rPr>
          <w:rFonts w:hint="eastAsia" w:ascii="宋体" w:hAnsi="宋体" w:eastAsia="仿宋_GB2312"/>
          <w:sz w:val="32"/>
          <w:szCs w:val="32"/>
          <w:lang w:eastAsia="zh-CN"/>
        </w:rPr>
        <w:t>、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《江门市烟花爆竹零售布点规划编制工作指引》</w:t>
      </w:r>
      <w:r>
        <w:rPr>
          <w:rFonts w:hint="eastAsia" w:ascii="宋体" w:hAnsi="宋体" w:eastAsia="仿宋_GB2312"/>
          <w:sz w:val="32"/>
          <w:szCs w:val="32"/>
        </w:rPr>
        <w:t>及《烟花爆竹零售店（点）安全技术规范》（AQ 4128—2019）等法律法规</w:t>
      </w:r>
      <w:r>
        <w:rPr>
          <w:rFonts w:hint="eastAsia" w:ascii="宋体" w:hAnsi="宋体" w:eastAsia="仿宋_GB2312"/>
          <w:sz w:val="32"/>
          <w:szCs w:val="32"/>
          <w:lang w:eastAsia="zh-CN"/>
        </w:rPr>
        <w:t>的</w:t>
      </w:r>
      <w:r>
        <w:rPr>
          <w:rFonts w:hint="eastAsia" w:ascii="宋体" w:hAnsi="宋体" w:eastAsia="仿宋_GB2312"/>
          <w:sz w:val="32"/>
          <w:szCs w:val="32"/>
        </w:rPr>
        <w:t>规定，结合我市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实际情况</w:t>
      </w:r>
      <w:r>
        <w:rPr>
          <w:rFonts w:hint="eastAsia" w:ascii="宋体" w:hAnsi="宋体" w:eastAsia="仿宋_GB2312"/>
          <w:sz w:val="32"/>
          <w:szCs w:val="32"/>
        </w:rPr>
        <w:t>，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制定本方案</w:t>
      </w:r>
      <w:r>
        <w:rPr>
          <w:rFonts w:hint="eastAsia" w:ascii="宋体" w:hAnsi="宋体" w:eastAsia="仿宋_GB2312"/>
          <w:sz w:val="32"/>
          <w:szCs w:val="32"/>
        </w:rPr>
        <w:t>。</w:t>
      </w:r>
    </w:p>
    <w:p w14:paraId="7F08CE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ascii="宋体" w:hAnsi="宋体" w:eastAsia="黑体"/>
          <w:sz w:val="32"/>
          <w:szCs w:val="32"/>
        </w:rPr>
      </w:pPr>
      <w:r>
        <w:rPr>
          <w:rFonts w:ascii="宋体" w:hAnsi="宋体" w:eastAsia="黑体"/>
          <w:sz w:val="32"/>
          <w:szCs w:val="32"/>
        </w:rPr>
        <w:t>一、</w:t>
      </w:r>
      <w:r>
        <w:rPr>
          <w:rFonts w:hint="eastAsia" w:ascii="宋体" w:hAnsi="宋体" w:eastAsia="黑体"/>
          <w:sz w:val="32"/>
          <w:szCs w:val="32"/>
          <w:lang w:val="en-US" w:eastAsia="zh-CN"/>
        </w:rPr>
        <w:t>规划</w:t>
      </w:r>
      <w:r>
        <w:rPr>
          <w:rFonts w:ascii="宋体" w:hAnsi="宋体" w:eastAsia="黑体"/>
          <w:sz w:val="32"/>
          <w:szCs w:val="32"/>
        </w:rPr>
        <w:t>原则</w:t>
      </w:r>
    </w:p>
    <w:p w14:paraId="5CE19A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ascii="宋体" w:hAnsi="宋体" w:eastAsia="仿宋_GB2312"/>
          <w:b w:val="0"/>
          <w:bCs w:val="0"/>
          <w:sz w:val="32"/>
          <w:szCs w:val="32"/>
        </w:rPr>
      </w:pPr>
      <w:r>
        <w:rPr>
          <w:rFonts w:hint="eastAsia" w:ascii="宋体" w:hAnsi="宋体" w:eastAsia="仿宋_GB2312"/>
          <w:b w:val="0"/>
          <w:bCs w:val="0"/>
          <w:sz w:val="32"/>
          <w:szCs w:val="32"/>
        </w:rPr>
        <w:t>坚持</w:t>
      </w:r>
      <w:r>
        <w:rPr>
          <w:rFonts w:ascii="宋体" w:hAnsi="宋体" w:eastAsia="仿宋_GB2312"/>
          <w:b w:val="0"/>
          <w:bCs w:val="0"/>
          <w:sz w:val="32"/>
          <w:szCs w:val="32"/>
        </w:rPr>
        <w:t>“安全第一，预防为主，综合治理”的方针，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  <w:t>贯彻</w:t>
      </w:r>
      <w:r>
        <w:rPr>
          <w:rFonts w:ascii="宋体" w:hAnsi="宋体" w:eastAsia="仿宋_GB2312"/>
          <w:b w:val="0"/>
          <w:bCs w:val="0"/>
          <w:sz w:val="32"/>
          <w:szCs w:val="32"/>
        </w:rPr>
        <w:t>“保障安全、统一规划、合理布局、总量控制、适度竞争”的原则，</w:t>
      </w:r>
      <w:r>
        <w:rPr>
          <w:rFonts w:hint="eastAsia" w:ascii="宋体" w:hAnsi="宋体" w:eastAsia="仿宋_GB2312"/>
          <w:b w:val="0"/>
          <w:bCs w:val="0"/>
          <w:sz w:val="32"/>
          <w:szCs w:val="32"/>
        </w:rPr>
        <w:t>综合考虑人口密度、市场需求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eastAsia="zh-CN"/>
        </w:rPr>
        <w:t>、运输条件、环境安全和监管力量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  <w:t>等因素</w:t>
      </w:r>
      <w:r>
        <w:rPr>
          <w:rFonts w:hint="eastAsia" w:ascii="宋体" w:hAnsi="宋体" w:eastAsia="仿宋_GB2312"/>
          <w:b w:val="0"/>
          <w:bCs w:val="0"/>
          <w:sz w:val="32"/>
          <w:szCs w:val="32"/>
        </w:rPr>
        <w:t>，统筹兼顾安全发展与民生需求，</w:t>
      </w:r>
      <w:r>
        <w:rPr>
          <w:rFonts w:ascii="宋体" w:hAnsi="宋体" w:eastAsia="仿宋_GB2312"/>
          <w:b w:val="0"/>
          <w:bCs w:val="0"/>
          <w:sz w:val="32"/>
          <w:szCs w:val="32"/>
        </w:rPr>
        <w:t>科学合理布点规划，夯实烟花爆竹零售网点安全基础性工作，</w:t>
      </w:r>
      <w:r>
        <w:rPr>
          <w:rFonts w:hint="eastAsia" w:ascii="宋体" w:hAnsi="宋体" w:eastAsia="仿宋_GB2312"/>
          <w:b w:val="0"/>
          <w:bCs w:val="0"/>
          <w:sz w:val="32"/>
          <w:szCs w:val="32"/>
        </w:rPr>
        <w:t>构建规范有序、安全便民、有利救援、适应经济社会高质量安全发展的烟花爆竹零售经营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  <w:t>市场</w:t>
      </w:r>
      <w:r>
        <w:rPr>
          <w:rFonts w:ascii="宋体" w:hAnsi="宋体" w:eastAsia="仿宋_GB2312"/>
          <w:b w:val="0"/>
          <w:bCs w:val="0"/>
          <w:sz w:val="32"/>
          <w:szCs w:val="32"/>
        </w:rPr>
        <w:t>。</w:t>
      </w:r>
    </w:p>
    <w:p w14:paraId="37C671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宋体" w:hAnsi="宋体" w:eastAsia="黑体"/>
          <w:b w:val="0"/>
          <w:bCs w:val="0"/>
          <w:sz w:val="32"/>
          <w:szCs w:val="32"/>
          <w:lang w:val="en-US" w:eastAsia="zh-CN"/>
        </w:rPr>
      </w:pPr>
      <w:r>
        <w:rPr>
          <w:rFonts w:ascii="宋体" w:hAnsi="宋体" w:eastAsia="黑体"/>
          <w:b w:val="0"/>
          <w:bCs w:val="0"/>
          <w:sz w:val="32"/>
          <w:szCs w:val="32"/>
        </w:rPr>
        <w:t>二、规划</w:t>
      </w:r>
      <w:r>
        <w:rPr>
          <w:rFonts w:hint="eastAsia" w:ascii="宋体" w:hAnsi="宋体" w:eastAsia="黑体"/>
          <w:b w:val="0"/>
          <w:bCs w:val="0"/>
          <w:sz w:val="32"/>
          <w:szCs w:val="32"/>
          <w:lang w:val="en-US" w:eastAsia="zh-CN"/>
        </w:rPr>
        <w:t>要求</w:t>
      </w:r>
    </w:p>
    <w:p w14:paraId="308A40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严控控制总量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  <w:t>。</w:t>
      </w:r>
      <w:r>
        <w:rPr>
          <w:rFonts w:ascii="宋体" w:hAnsi="宋体" w:eastAsia="仿宋_GB2312"/>
          <w:b w:val="0"/>
          <w:bCs w:val="0"/>
          <w:sz w:val="32"/>
          <w:szCs w:val="32"/>
        </w:rPr>
        <w:t>综合各镇（街）的人口分布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eastAsia="zh-CN"/>
        </w:rPr>
        <w:t>、地理条件、交通条件</w:t>
      </w:r>
      <w:r>
        <w:rPr>
          <w:rFonts w:ascii="宋体" w:hAnsi="宋体" w:eastAsia="仿宋_GB2312"/>
          <w:sz w:val="32"/>
          <w:szCs w:val="32"/>
        </w:rPr>
        <w:t>以及近年烟花爆竹（零售）经营许可情况等因素，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以“长期固定零售店+旺季短期零售店（点）”相结合的模式</w:t>
      </w:r>
      <w:r>
        <w:rPr>
          <w:rFonts w:ascii="宋体" w:hAnsi="宋体" w:eastAsia="仿宋_GB2312"/>
          <w:sz w:val="32"/>
          <w:szCs w:val="32"/>
        </w:rPr>
        <w:t>确定全市</w:t>
      </w:r>
      <w:r>
        <w:rPr>
          <w:rFonts w:hint="eastAsia" w:ascii="宋体" w:hAnsi="宋体" w:eastAsia="仿宋_GB2312"/>
          <w:sz w:val="32"/>
          <w:szCs w:val="32"/>
        </w:rPr>
        <w:t>长期固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定零售店12家（每个镇1家、街道2家）、旺季短期零售店（点）21家，零售店（点）共33家（详见附件《恩平市烟花爆竹零售店（点）总体控制数量指标》）。现有烟花爆竹零售店（点）不符合本布点规划但许可证件仍在有效期内且继续经营的，纳入该镇总体控制数量指标限额，超出部分不纳入全市总体控制数量指标限额。</w:t>
      </w:r>
    </w:p>
    <w:p w14:paraId="2D0A23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（二）规范布点区域。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  <w:t>以下范围不布设烟花爆竹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零售</w:t>
      </w:r>
      <w:r>
        <w:rPr>
          <w:rFonts w:hint="eastAsia" w:eastAsia="仿宋_GB2312" w:cs="Times New Roman"/>
          <w:kern w:val="2"/>
          <w:sz w:val="32"/>
          <w:szCs w:val="32"/>
        </w:rPr>
        <w:t>店（点）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：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  <w:t>一是</w:t>
      </w:r>
      <w:r>
        <w:rPr>
          <w:rFonts w:hint="eastAsia" w:ascii="宋体" w:hAnsi="宋体" w:eastAsia="仿宋_GB2312"/>
          <w:b w:val="0"/>
          <w:bCs w:val="0"/>
          <w:sz w:val="32"/>
          <w:szCs w:val="32"/>
        </w:rPr>
        <w:t>恩平市烟花爆竹禁销区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  <w:t>恩平市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eastAsia="zh-CN"/>
        </w:rPr>
        <w:t>中心城区建成区）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  <w:t>内；二是锦江大道、发展大道两侧100米范围，恩平大道与G15沈海高速公路之间的地块；三是沙湖圩、牛江圩、君堂圩、圣堂圩、良西圩、东成圩、大田圩、朗底圩、横陂圩、大槐圩、那吉圩，大槐聚集区、六家冲工业区，以及旅游景区范围内；四是</w:t>
      </w:r>
      <w:r>
        <w:rPr>
          <w:rFonts w:hint="eastAsia" w:eastAsia="仿宋_GB2312" w:cs="Times New Roman"/>
          <w:kern w:val="2"/>
          <w:sz w:val="32"/>
          <w:szCs w:val="32"/>
        </w:rPr>
        <w:t>学校、医院、幼儿园、养老院、集贸市场、文物古迹、博物馆、展览馆、档案馆、图书馆等人员密集场所、重点建筑物，危险品生产、储存及加油站、加气站等易燃易爆场所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kern w:val="2"/>
          <w:sz w:val="32"/>
          <w:szCs w:val="32"/>
        </w:rPr>
        <w:t>消防站、交通枢纽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、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镇级以上党政机关办公楼</w:t>
      </w:r>
      <w:r>
        <w:rPr>
          <w:rFonts w:hint="eastAsia" w:eastAsia="仿宋_GB2312" w:cs="Times New Roman"/>
          <w:kern w:val="2"/>
          <w:sz w:val="32"/>
          <w:szCs w:val="32"/>
        </w:rPr>
        <w:t>等其他重要设施100米范围内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；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五是村庄民宅周边100米范围内，山地、林地边缘100米范围内；六是市、镇指定燃放点150米范围内；七是国道100米、省道50米范围内。</w:t>
      </w:r>
    </w:p>
    <w:p w14:paraId="3FB628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default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（三）明确面积与许可期限</w:t>
      </w:r>
      <w:r>
        <w:rPr>
          <w:rFonts w:hint="eastAsia" w:ascii="宋体" w:hAnsi="宋体" w:eastAsia="仿宋_GB2312"/>
          <w:sz w:val="32"/>
          <w:szCs w:val="32"/>
          <w:lang w:eastAsia="zh-CN"/>
        </w:rPr>
        <w:t>。长期固定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零售店、旺季短期</w:t>
      </w:r>
      <w:r>
        <w:rPr>
          <w:rFonts w:hint="eastAsia" w:eastAsia="仿宋_GB2312" w:cs="Times New Roman"/>
          <w:b w:val="0"/>
          <w:bCs w:val="0"/>
          <w:kern w:val="2"/>
          <w:sz w:val="32"/>
          <w:szCs w:val="32"/>
          <w:lang w:val="en-US" w:eastAsia="zh-CN"/>
        </w:rPr>
        <w:t>零售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店（点）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的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总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使用面积应分别为70 m</w:t>
      </w:r>
      <w:r>
        <w:rPr>
          <w:rFonts w:hint="eastAsia" w:ascii="宋体" w:hAnsi="宋体" w:eastAsia="仿宋_GB2312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至100m</w:t>
      </w:r>
      <w:r>
        <w:rPr>
          <w:rFonts w:hint="eastAsia" w:ascii="宋体" w:hAnsi="宋体" w:eastAsia="仿宋_GB2312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、30 m</w:t>
      </w:r>
      <w:r>
        <w:rPr>
          <w:rFonts w:hint="eastAsia" w:ascii="宋体" w:hAnsi="宋体" w:eastAsia="仿宋_GB2312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至50m</w:t>
      </w:r>
      <w:r>
        <w:rPr>
          <w:rFonts w:hint="eastAsia" w:ascii="宋体" w:hAnsi="宋体" w:eastAsia="仿宋_GB2312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；当</w:t>
      </w:r>
      <w:r>
        <w:rPr>
          <w:rFonts w:hint="eastAsia" w:ascii="宋体" w:hAnsi="宋体" w:eastAsia="仿宋_GB2312"/>
          <w:sz w:val="32"/>
          <w:szCs w:val="32"/>
          <w:lang w:eastAsia="zh-CN"/>
        </w:rPr>
        <w:t>长期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固定零售店最小总使用面积确无法达到的，应不少于50m</w:t>
      </w:r>
      <w:r>
        <w:rPr>
          <w:rFonts w:hint="eastAsia" w:ascii="宋体" w:hAnsi="宋体" w:eastAsia="仿宋_GB2312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。</w:t>
      </w:r>
      <w:r>
        <w:rPr>
          <w:rFonts w:hint="eastAsia" w:ascii="宋体" w:hAnsi="宋体" w:eastAsia="仿宋_GB2312"/>
          <w:sz w:val="32"/>
          <w:szCs w:val="32"/>
          <w:lang w:eastAsia="zh-CN"/>
        </w:rPr>
        <w:t>长期固定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零售店许可有效期为2年，旺季短期零售店（点）许可有效期为4个月。</w:t>
      </w:r>
    </w:p>
    <w:p w14:paraId="390C77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ascii="宋体" w:hAnsi="宋体" w:eastAsia="黑体"/>
          <w:sz w:val="32"/>
          <w:szCs w:val="32"/>
        </w:rPr>
      </w:pPr>
      <w:r>
        <w:rPr>
          <w:rFonts w:ascii="宋体" w:hAnsi="宋体" w:eastAsia="黑体"/>
          <w:sz w:val="32"/>
          <w:szCs w:val="32"/>
        </w:rPr>
        <w:t>三、</w:t>
      </w:r>
      <w:r>
        <w:rPr>
          <w:rFonts w:hint="eastAsia" w:ascii="宋体" w:hAnsi="宋体" w:eastAsia="黑体"/>
          <w:sz w:val="32"/>
          <w:szCs w:val="32"/>
          <w:lang w:val="en-US" w:eastAsia="zh-CN"/>
        </w:rPr>
        <w:t>布</w:t>
      </w:r>
      <w:r>
        <w:rPr>
          <w:rFonts w:hint="eastAsia" w:ascii="宋体" w:hAnsi="宋体" w:eastAsia="黑体"/>
          <w:sz w:val="32"/>
          <w:szCs w:val="32"/>
        </w:rPr>
        <w:t>点</w:t>
      </w:r>
      <w:r>
        <w:rPr>
          <w:rFonts w:ascii="宋体" w:hAnsi="宋体" w:eastAsia="黑体"/>
          <w:sz w:val="32"/>
          <w:szCs w:val="32"/>
        </w:rPr>
        <w:t>条件</w:t>
      </w:r>
    </w:p>
    <w:p w14:paraId="165777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default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sz w:val="32"/>
          <w:szCs w:val="32"/>
          <w:lang w:val="en-US" w:eastAsia="zh-CN"/>
        </w:rPr>
        <w:t>优先选择在交通便利、周边位置空旷、建筑物相对独立的区域，并须符合《烟花爆竹零售店（点）安全技术规范》。</w:t>
      </w:r>
    </w:p>
    <w:p w14:paraId="71A0B8A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（一）选址要求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。</w:t>
      </w:r>
    </w:p>
    <w:p w14:paraId="31E0F1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宋体" w:hAnsi="宋体" w:eastAsia="仿宋_GB2312"/>
          <w:sz w:val="32"/>
          <w:szCs w:val="32"/>
          <w:lang w:eastAsia="zh-CN"/>
        </w:rPr>
      </w:pPr>
      <w:r>
        <w:rPr>
          <w:rFonts w:hint="eastAsia" w:ascii="宋体" w:hAnsi="宋体" w:eastAsia="仿宋_GB2312"/>
          <w:sz w:val="32"/>
          <w:szCs w:val="32"/>
          <w:lang w:val="en-US" w:eastAsia="zh-CN"/>
        </w:rPr>
        <w:t>1.</w:t>
      </w:r>
      <w:r>
        <w:rPr>
          <w:rFonts w:ascii="宋体" w:hAnsi="宋体" w:eastAsia="仿宋_GB2312"/>
          <w:sz w:val="32"/>
          <w:szCs w:val="32"/>
        </w:rPr>
        <w:t>符合恩平市烟花爆竹燃放规定</w:t>
      </w:r>
      <w:r>
        <w:rPr>
          <w:rFonts w:hint="eastAsia" w:ascii="宋体" w:hAnsi="宋体" w:eastAsia="仿宋_GB2312"/>
          <w:sz w:val="32"/>
          <w:szCs w:val="32"/>
          <w:lang w:eastAsia="zh-CN"/>
        </w:rPr>
        <w:t>。</w:t>
      </w:r>
    </w:p>
    <w:p w14:paraId="3043071A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6" w:firstLineChars="200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2.</w:t>
      </w:r>
      <w:r>
        <w:rPr>
          <w:rFonts w:hint="eastAsia" w:eastAsia="仿宋_GB2312" w:cs="Times New Roman"/>
          <w:kern w:val="2"/>
          <w:sz w:val="32"/>
          <w:szCs w:val="32"/>
        </w:rPr>
        <w:t>不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应</w:t>
      </w:r>
      <w:r>
        <w:rPr>
          <w:rFonts w:hint="eastAsia" w:eastAsia="仿宋_GB2312" w:cs="Times New Roman"/>
          <w:kern w:val="2"/>
          <w:sz w:val="32"/>
          <w:szCs w:val="32"/>
        </w:rPr>
        <w:t>设置在军事管理区、文物保护区等烟花爆竹禁放区范围内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。</w:t>
      </w:r>
    </w:p>
    <w:p w14:paraId="24C2571C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6" w:firstLineChars="200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3.</w:t>
      </w:r>
      <w:r>
        <w:rPr>
          <w:rFonts w:hint="eastAsia" w:eastAsia="仿宋_GB2312" w:cs="Times New Roman"/>
          <w:kern w:val="2"/>
          <w:sz w:val="32"/>
          <w:szCs w:val="32"/>
        </w:rPr>
        <w:t>不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应</w:t>
      </w:r>
      <w:r>
        <w:rPr>
          <w:rFonts w:hint="eastAsia" w:eastAsia="仿宋_GB2312" w:cs="Times New Roman"/>
          <w:kern w:val="2"/>
          <w:sz w:val="32"/>
          <w:szCs w:val="32"/>
        </w:rPr>
        <w:t>设置在居民集中居住小区内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、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有燃气管道的房屋内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以及桥上、</w:t>
      </w:r>
      <w:r>
        <w:rPr>
          <w:rFonts w:hint="eastAsia" w:eastAsia="仿宋_GB2312" w:cs="Times New Roman"/>
          <w:kern w:val="2"/>
          <w:sz w:val="32"/>
          <w:szCs w:val="32"/>
        </w:rPr>
        <w:t>桥下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、</w:t>
      </w:r>
      <w:r>
        <w:rPr>
          <w:rFonts w:hint="eastAsia" w:eastAsia="仿宋_GB2312" w:cs="Times New Roman"/>
          <w:kern w:val="2"/>
          <w:sz w:val="32"/>
          <w:szCs w:val="32"/>
        </w:rPr>
        <w:t>涵洞内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。</w:t>
      </w:r>
    </w:p>
    <w:p w14:paraId="64F623BD">
      <w:pPr>
        <w:keepNext w:val="0"/>
        <w:keepLines w:val="0"/>
        <w:pageBreakBefore w:val="0"/>
        <w:tabs>
          <w:tab w:val="left" w:pos="20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jc w:val="left"/>
        <w:textAlignment w:val="auto"/>
        <w:rPr>
          <w:rFonts w:hint="eastAsia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Times New Roman"/>
          <w:kern w:val="2"/>
          <w:sz w:val="32"/>
          <w:szCs w:val="32"/>
          <w:lang w:val="en-US" w:eastAsia="zh-CN" w:bidi="ar-SA"/>
        </w:rPr>
        <w:t>4.</w:t>
      </w:r>
      <w:r>
        <w:rPr>
          <w:rFonts w:hint="eastAsia" w:eastAsia="仿宋_GB2312" w:cs="Times New Roman"/>
          <w:kern w:val="2"/>
          <w:sz w:val="32"/>
          <w:szCs w:val="32"/>
        </w:rPr>
        <w:t>不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应</w:t>
      </w:r>
      <w:r>
        <w:rPr>
          <w:rFonts w:hint="eastAsia" w:eastAsia="仿宋_GB2312" w:cs="Times New Roman"/>
          <w:kern w:val="2"/>
          <w:sz w:val="32"/>
          <w:szCs w:val="32"/>
        </w:rPr>
        <w:t>与居住场所设置在同一建筑物内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不应</w:t>
      </w:r>
      <w:r>
        <w:rPr>
          <w:rFonts w:hint="eastAsia" w:eastAsia="仿宋_GB2312" w:cs="Times New Roman"/>
          <w:kern w:val="2"/>
          <w:sz w:val="32"/>
          <w:szCs w:val="32"/>
        </w:rPr>
        <w:t>设置在地下及半地下室内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。</w:t>
      </w:r>
    </w:p>
    <w:p w14:paraId="0BFF5372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5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5.</w:t>
      </w:r>
      <w:r>
        <w:rPr>
          <w:rFonts w:hint="eastAsia" w:eastAsia="仿宋_GB2312" w:cs="Times New Roman"/>
          <w:kern w:val="2"/>
          <w:sz w:val="32"/>
          <w:szCs w:val="32"/>
        </w:rPr>
        <w:t>不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应</w:t>
      </w:r>
      <w:r>
        <w:rPr>
          <w:rFonts w:hint="eastAsia" w:eastAsia="仿宋_GB2312" w:cs="Times New Roman"/>
          <w:kern w:val="2"/>
          <w:sz w:val="32"/>
          <w:szCs w:val="32"/>
        </w:rPr>
        <w:t>设置在其地下、室内或上方有输送石油、天然气等易燃易爆物质管道的建筑物内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。</w:t>
      </w:r>
    </w:p>
    <w:p w14:paraId="0867F706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5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6.</w:t>
      </w:r>
      <w:r>
        <w:rPr>
          <w:rFonts w:hint="eastAsia" w:eastAsia="仿宋_GB2312" w:cs="Times New Roman"/>
          <w:kern w:val="2"/>
          <w:sz w:val="32"/>
          <w:szCs w:val="32"/>
        </w:rPr>
        <w:t>不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应</w:t>
      </w:r>
      <w:r>
        <w:rPr>
          <w:rFonts w:hint="eastAsia" w:eastAsia="仿宋_GB2312" w:cs="Times New Roman"/>
          <w:kern w:val="2"/>
          <w:sz w:val="32"/>
          <w:szCs w:val="32"/>
        </w:rPr>
        <w:t>设置在电压高于1kV的电力线路下方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。</w:t>
      </w:r>
    </w:p>
    <w:p w14:paraId="05DBC20C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6" w:firstLineChars="200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7</w:t>
      </w:r>
      <w:r>
        <w:rPr>
          <w:rFonts w:hint="eastAsia" w:eastAsia="仿宋_GB2312" w:cs="Times New Roman"/>
          <w:kern w:val="2"/>
          <w:sz w:val="32"/>
          <w:szCs w:val="32"/>
        </w:rPr>
        <w:t>.应选择在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人员可以安全快捷逃生、</w:t>
      </w:r>
      <w:r>
        <w:rPr>
          <w:rFonts w:hint="eastAsia" w:eastAsia="仿宋_GB2312" w:cs="Times New Roman"/>
          <w:kern w:val="2"/>
          <w:sz w:val="32"/>
          <w:szCs w:val="32"/>
        </w:rPr>
        <w:t>消防车辆可以顺畅到达的区域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。</w:t>
      </w:r>
    </w:p>
    <w:p w14:paraId="220AE9C9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6" w:firstLineChars="200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8.</w:t>
      </w:r>
      <w:r>
        <w:rPr>
          <w:rFonts w:hint="eastAsia" w:eastAsia="仿宋_GB2312" w:cs="Times New Roman"/>
          <w:kern w:val="2"/>
          <w:sz w:val="32"/>
          <w:szCs w:val="32"/>
        </w:rPr>
        <w:t>零售店（点）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应为单层建（构）筑物</w:t>
      </w:r>
      <w:r>
        <w:rPr>
          <w:rFonts w:hint="eastAsia" w:eastAsia="仿宋_GB2312" w:cs="Times New Roman"/>
          <w:kern w:val="2"/>
          <w:sz w:val="32"/>
          <w:szCs w:val="32"/>
        </w:rPr>
        <w:t>。</w:t>
      </w:r>
    </w:p>
    <w:p w14:paraId="036CBF5A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6" w:firstLineChars="200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9.零售</w:t>
      </w:r>
      <w:r>
        <w:rPr>
          <w:rFonts w:hint="eastAsia" w:eastAsia="仿宋_GB2312" w:cs="Times New Roman"/>
          <w:kern w:val="2"/>
          <w:sz w:val="32"/>
          <w:szCs w:val="32"/>
        </w:rPr>
        <w:t>店（点）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毗邻其他建筑物时，其毗邻墙体应为不少于18cm的密实砖墙，且不应有门窗和洞口相通。</w:t>
      </w:r>
    </w:p>
    <w:p w14:paraId="7F36BE11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5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10.经营场所采用固定建筑物时应符合建筑结构及耐火等级要求。采用临时建筑物时，应独立设置。</w:t>
      </w:r>
    </w:p>
    <w:p w14:paraId="59474FC3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5"/>
        <w:jc w:val="both"/>
        <w:textAlignment w:val="auto"/>
        <w:rPr>
          <w:rFonts w:hint="default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（二）外部距离要求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。</w:t>
      </w:r>
    </w:p>
    <w:p w14:paraId="38B69F82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6" w:firstLineChars="200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1.</w:t>
      </w:r>
      <w:r>
        <w:rPr>
          <w:rFonts w:hint="eastAsia" w:eastAsia="仿宋_GB2312" w:cs="Times New Roman"/>
          <w:kern w:val="2"/>
          <w:sz w:val="32"/>
          <w:szCs w:val="32"/>
        </w:rPr>
        <w:t>与220kV及以上的区域变电站围墙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kern w:val="2"/>
          <w:sz w:val="32"/>
          <w:szCs w:val="32"/>
        </w:rPr>
        <w:t>220kV以上的架空输电线路距离不少于50米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。</w:t>
      </w:r>
    </w:p>
    <w:p w14:paraId="78EB2E31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5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2</w:t>
      </w:r>
      <w:r>
        <w:rPr>
          <w:rFonts w:hint="eastAsia" w:eastAsia="仿宋_GB2312" w:cs="Times New Roman"/>
          <w:kern w:val="2"/>
          <w:sz w:val="32"/>
          <w:szCs w:val="32"/>
        </w:rPr>
        <w:t>.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与</w:t>
      </w:r>
      <w:r>
        <w:rPr>
          <w:rFonts w:hint="eastAsia" w:eastAsia="仿宋_GB2312" w:cs="Times New Roman"/>
          <w:kern w:val="2"/>
          <w:sz w:val="32"/>
          <w:szCs w:val="32"/>
        </w:rPr>
        <w:t>电动汽车或电动自行车充电设施距离不少于100米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；</w:t>
      </w:r>
    </w:p>
    <w:p w14:paraId="130E19D1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5"/>
        <w:jc w:val="both"/>
        <w:textAlignment w:val="auto"/>
        <w:rPr>
          <w:rFonts w:hint="eastAsia" w:eastAsia="仿宋_GB2312" w:cs="Times New Roman"/>
          <w:kern w:val="2"/>
          <w:sz w:val="32"/>
          <w:szCs w:val="32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3.</w:t>
      </w:r>
      <w:r>
        <w:rPr>
          <w:rFonts w:hint="eastAsia" w:eastAsia="仿宋_GB2312" w:cs="Times New Roman"/>
          <w:kern w:val="2"/>
          <w:sz w:val="32"/>
          <w:szCs w:val="32"/>
        </w:rPr>
        <w:t>相邻零售店（点）之间的距离不小于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8</w:t>
      </w:r>
      <w:r>
        <w:rPr>
          <w:rFonts w:hint="eastAsia" w:eastAsia="仿宋_GB2312" w:cs="Times New Roman"/>
          <w:kern w:val="2"/>
          <w:sz w:val="32"/>
          <w:szCs w:val="32"/>
        </w:rPr>
        <w:t>0米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。</w:t>
      </w:r>
    </w:p>
    <w:p w14:paraId="5AA43D2C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5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4.不应</w:t>
      </w:r>
      <w:r>
        <w:rPr>
          <w:rFonts w:hint="eastAsia" w:eastAsia="仿宋_GB2312" w:cs="Times New Roman"/>
          <w:kern w:val="2"/>
          <w:sz w:val="32"/>
          <w:szCs w:val="32"/>
        </w:rPr>
        <w:t>在城乡结合部或集贸市场布设连片集中形式的烟花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爆竹零售经营场所，400米范围内布设零售店（点）不超过2个。</w:t>
      </w:r>
    </w:p>
    <w:p w14:paraId="2D8F712A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5"/>
        <w:jc w:val="both"/>
        <w:textAlignment w:val="auto"/>
        <w:rPr>
          <w:rFonts w:hint="default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（三）设施管理要求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。</w:t>
      </w:r>
    </w:p>
    <w:p w14:paraId="6709A95C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5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1.应配备2具5kg及以上的磷酸铵盐干粉灭火器，放置在便于使用的位置。</w:t>
      </w:r>
    </w:p>
    <w:p w14:paraId="6429A650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5"/>
        <w:jc w:val="both"/>
        <w:textAlignment w:val="auto"/>
        <w:rPr>
          <w:rFonts w:hint="default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2.醒目位置应设置“严禁烟火”“易燃易爆”“机动车辆装卸时必须熄火”“严禁燃放”等安全警示标识以及“五个严禁”警示标语。</w:t>
      </w:r>
    </w:p>
    <w:p w14:paraId="0D32919B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5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3.应设置防爆应急照明和安全出口标识灯；</w:t>
      </w:r>
    </w:p>
    <w:p w14:paraId="6B2880C1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5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4.应制定并张贴烟花爆竹零售经营安全责任制、安全管理制度和安全操作规程。</w:t>
      </w:r>
    </w:p>
    <w:p w14:paraId="26A47475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5"/>
        <w:jc w:val="both"/>
        <w:textAlignment w:val="auto"/>
        <w:rPr>
          <w:rFonts w:hint="default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5.主要负责人、安全管理人员应经培训考核合格，持证上岗，销售人员应经过安全知识教育并考核合格。</w:t>
      </w:r>
    </w:p>
    <w:p w14:paraId="0B80B3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宋体" w:hAnsi="宋体" w:eastAsia="黑体"/>
          <w:sz w:val="32"/>
          <w:szCs w:val="32"/>
          <w:lang w:eastAsia="zh-CN"/>
        </w:rPr>
      </w:pPr>
      <w:r>
        <w:rPr>
          <w:rFonts w:ascii="宋体" w:hAnsi="宋体" w:eastAsia="黑体"/>
          <w:sz w:val="32"/>
          <w:szCs w:val="32"/>
        </w:rPr>
        <w:t>四、</w:t>
      </w:r>
      <w:r>
        <w:rPr>
          <w:rFonts w:hint="eastAsia" w:ascii="宋体" w:hAnsi="宋体" w:eastAsia="黑体"/>
          <w:sz w:val="32"/>
          <w:szCs w:val="32"/>
          <w:lang w:val="en-US" w:eastAsia="zh-CN"/>
        </w:rPr>
        <w:t>实施步骤</w:t>
      </w:r>
    </w:p>
    <w:p w14:paraId="65F168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jc w:val="left"/>
        <w:textAlignment w:val="auto"/>
        <w:rPr>
          <w:rFonts w:hint="eastAsia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（一）规划发布阶段（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9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月）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。‌经市人民政府审定同意后，以市应急管理局名义印发实施，并通过网站向社会公布。</w:t>
      </w:r>
      <w:r>
        <w:rPr>
          <w:rFonts w:hint="eastAsia" w:ascii="宋体" w:hAnsi="宋体" w:eastAsia="仿宋_GB2312"/>
          <w:sz w:val="32"/>
          <w:szCs w:val="32"/>
        </w:rPr>
        <w:t>原恩平市应急管理局20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25</w:t>
      </w:r>
      <w:r>
        <w:rPr>
          <w:rFonts w:hint="eastAsia" w:ascii="宋体" w:hAnsi="宋体" w:eastAsia="仿宋_GB2312"/>
          <w:sz w:val="32"/>
          <w:szCs w:val="32"/>
        </w:rPr>
        <w:t>年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12月23日</w:t>
      </w:r>
      <w:r>
        <w:rPr>
          <w:rFonts w:hint="eastAsia" w:ascii="宋体" w:hAnsi="宋体" w:eastAsia="仿宋_GB2312"/>
          <w:sz w:val="32"/>
          <w:szCs w:val="32"/>
        </w:rPr>
        <w:t>印发的《恩平市烟花爆竹经营（零售）布点规划方案》（202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仿宋_GB2312"/>
          <w:sz w:val="32"/>
          <w:szCs w:val="32"/>
        </w:rPr>
        <w:t>年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第二次</w:t>
      </w:r>
      <w:r>
        <w:rPr>
          <w:rFonts w:hint="eastAsia" w:ascii="宋体" w:hAnsi="宋体" w:eastAsia="仿宋_GB2312"/>
          <w:sz w:val="32"/>
          <w:szCs w:val="32"/>
        </w:rPr>
        <w:t>修订）（恩应急〔202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仿宋_GB2312"/>
          <w:sz w:val="32"/>
          <w:szCs w:val="32"/>
        </w:rPr>
        <w:t>〕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34</w:t>
      </w:r>
      <w:r>
        <w:rPr>
          <w:rFonts w:hint="eastAsia" w:ascii="宋体" w:hAnsi="宋体" w:eastAsia="仿宋_GB2312"/>
          <w:sz w:val="32"/>
          <w:szCs w:val="32"/>
        </w:rPr>
        <w:t>号）同时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废止。</w:t>
      </w:r>
    </w:p>
    <w:p w14:paraId="4BBD5B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jc w:val="left"/>
        <w:textAlignment w:val="auto"/>
        <w:rPr>
          <w:rFonts w:hint="default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（二）过渡实施阶段（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9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月-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2028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月）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。现有零售店（点）中不再符合本布点规划的，在许可证有效期届满后不再延续，自动注销；鼓励主动申请调整至符合本布点规划的经营场所，在过渡期内主动申请调整的，优先予以办理。拟经营者经营场所位于规划布点区域内且符合安全条件的，每年9月21日至10月8日可向市应急管理局申请报名（其中不符合布点条件或者未有明确具体的拟经营点位的不得报名，不符合购买安责险条件的不得报名人），报名时提交申请表（要明确申请长期零售店经营或者短期</w:t>
      </w:r>
      <w:r>
        <w:rPr>
          <w:rFonts w:hint="eastAsia" w:eastAsia="仿宋_GB2312" w:cs="Times New Roman"/>
          <w:b w:val="0"/>
          <w:bCs w:val="0"/>
          <w:kern w:val="2"/>
          <w:sz w:val="32"/>
          <w:szCs w:val="32"/>
          <w:lang w:val="en-US" w:eastAsia="zh-CN"/>
        </w:rPr>
        <w:t>零售点经营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）、零售点及其周围安全条件说明（附周围100米范围示意图）、主要负责人和安全管理人员安全生产知识和管理能力考核合格证明（或培训考试计划安排证明在申办期限内具备资格）。如报名人数超过规划控制数量（分别以2027年1月28日、2028年1月16日的在现有存量为依据）指标，市应急管理局在10月20日前采取摇珠或集中抽签方式确定申请资格（有效期分别至2027年2月、2028年2月），取得申请资格的报名人按程序申办《烟花爆竹经营（零售）许可证》，并可凭申请资格向烟花爆竹批发企业申报采购计划。</w:t>
      </w:r>
    </w:p>
    <w:p w14:paraId="0982DE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jc w:val="left"/>
        <w:textAlignment w:val="auto"/>
        <w:rPr>
          <w:rFonts w:hint="default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（三）全面达标阶段（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2028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月起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）。全市零售店（点）全面按照本规划执行，总量控制在35家内，布局合理、安全规范。市应急管理局按受理时间的先后顺序审核发放烟花爆竹经营（零售）许可证。</w:t>
      </w:r>
    </w:p>
    <w:p w14:paraId="2B44AE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ascii="宋体" w:hAnsi="宋体" w:eastAsia="黑体"/>
          <w:sz w:val="32"/>
          <w:szCs w:val="32"/>
        </w:rPr>
      </w:pPr>
      <w:r>
        <w:rPr>
          <w:rFonts w:hint="eastAsia" w:ascii="宋体" w:hAnsi="宋体" w:eastAsia="黑体"/>
          <w:sz w:val="32"/>
          <w:szCs w:val="32"/>
          <w:lang w:val="en-US" w:eastAsia="zh-CN"/>
        </w:rPr>
        <w:t>五、</w:t>
      </w:r>
      <w:r>
        <w:rPr>
          <w:rFonts w:hint="eastAsia" w:ascii="宋体" w:hAnsi="宋体" w:eastAsia="黑体"/>
          <w:sz w:val="32"/>
          <w:szCs w:val="32"/>
        </w:rPr>
        <w:t>其他要求</w:t>
      </w:r>
    </w:p>
    <w:p w14:paraId="2DE854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>（一）</w:t>
      </w:r>
      <w:r>
        <w:rPr>
          <w:rFonts w:ascii="宋体" w:hAnsi="宋体" w:eastAsia="仿宋_GB2312"/>
          <w:sz w:val="32"/>
          <w:szCs w:val="32"/>
        </w:rPr>
        <w:t>从事烟花爆竹零售的经营者应当</w:t>
      </w:r>
      <w:r>
        <w:rPr>
          <w:rFonts w:hint="eastAsia" w:ascii="宋体" w:hAnsi="宋体" w:eastAsia="仿宋_GB2312"/>
          <w:sz w:val="32"/>
          <w:szCs w:val="32"/>
        </w:rPr>
        <w:t>依法</w:t>
      </w:r>
      <w:r>
        <w:rPr>
          <w:rFonts w:ascii="宋体" w:hAnsi="宋体" w:eastAsia="仿宋_GB2312"/>
          <w:sz w:val="32"/>
          <w:szCs w:val="32"/>
        </w:rPr>
        <w:t>取得《烟花爆竹经营（零售）许可证》。未取得《烟花爆竹经营（零售）许可证》的，任何单位或者个人不得从事烟花爆竹零售活动。</w:t>
      </w:r>
    </w:p>
    <w:p w14:paraId="3D00CC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>（二）经营者不得擅自变更经营场所，严禁一证多点、异地销售、超量储存、不得擅自降低安全销售条件，对因安全条件发生变化确需变更经营场所的，应及时申请重新办理《烟花爆竹经营（零售）许可证》。</w:t>
      </w:r>
    </w:p>
    <w:p w14:paraId="431EF9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宋体" w:hAnsi="宋体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  <w:t>（三）存在以下情形的，</w:t>
      </w:r>
      <w:r>
        <w:rPr>
          <w:rFonts w:ascii="宋体" w:hAnsi="宋体" w:eastAsia="仿宋_GB2312"/>
          <w:b w:val="0"/>
          <w:bCs w:val="0"/>
          <w:sz w:val="32"/>
          <w:szCs w:val="32"/>
        </w:rPr>
        <w:t>市</w:t>
      </w:r>
      <w:r>
        <w:rPr>
          <w:rFonts w:hint="eastAsia" w:ascii="宋体" w:hAnsi="宋体" w:eastAsia="仿宋_GB2312"/>
          <w:b w:val="0"/>
          <w:bCs w:val="0"/>
          <w:sz w:val="32"/>
          <w:szCs w:val="32"/>
        </w:rPr>
        <w:t>应急管理</w:t>
      </w:r>
      <w:r>
        <w:rPr>
          <w:rFonts w:ascii="宋体" w:hAnsi="宋体" w:eastAsia="仿宋_GB2312"/>
          <w:b w:val="0"/>
          <w:bCs w:val="0"/>
          <w:sz w:val="32"/>
          <w:szCs w:val="32"/>
        </w:rPr>
        <w:t>局</w:t>
      </w:r>
      <w:r>
        <w:rPr>
          <w:rFonts w:hint="eastAsia" w:ascii="宋体" w:hAnsi="宋体" w:eastAsia="仿宋_GB2312"/>
          <w:b w:val="0"/>
          <w:bCs w:val="0"/>
          <w:sz w:val="32"/>
          <w:szCs w:val="32"/>
        </w:rPr>
        <w:t>不予受理，申请人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  <w:t>在2</w:t>
      </w:r>
      <w:r>
        <w:rPr>
          <w:rFonts w:hint="eastAsia" w:ascii="宋体" w:hAnsi="宋体" w:eastAsia="仿宋_GB2312"/>
          <w:b w:val="0"/>
          <w:bCs w:val="0"/>
          <w:sz w:val="32"/>
          <w:szCs w:val="32"/>
        </w:rPr>
        <w:t>年内不得提出烟花爆竹经营许可申请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eastAsia="zh-CN"/>
        </w:rPr>
        <w:t>：</w:t>
      </w:r>
    </w:p>
    <w:p w14:paraId="40F514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宋体" w:hAnsi="宋体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仿宋_GB2312"/>
          <w:b w:val="0"/>
          <w:bCs w:val="0"/>
          <w:sz w:val="32"/>
          <w:szCs w:val="32"/>
        </w:rPr>
        <w:t>申请人隐瞒有关情况或者提供虚假材料申请烟花爆竹经营许可证的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eastAsia="zh-CN"/>
        </w:rPr>
        <w:t>；</w:t>
      </w:r>
    </w:p>
    <w:p w14:paraId="718022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宋体" w:hAnsi="宋体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仿宋_GB2312"/>
          <w:b w:val="0"/>
          <w:bCs w:val="0"/>
          <w:sz w:val="32"/>
          <w:szCs w:val="32"/>
        </w:rPr>
        <w:t>申请人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  <w:t>在一年内被查处存在异地销售、超量储存、销售非法生产经营的烟花爆竹行为的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eastAsia="zh-CN"/>
        </w:rPr>
        <w:t>。</w:t>
      </w:r>
    </w:p>
    <w:p w14:paraId="6EC2D8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宋体" w:hAnsi="宋体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仿宋_GB2312"/>
          <w:b w:val="0"/>
          <w:bCs w:val="0"/>
          <w:sz w:val="32"/>
          <w:szCs w:val="32"/>
          <w:lang w:eastAsia="zh-CN"/>
        </w:rPr>
        <w:t>）以欺骗、贿赂等不正当手段取得烟花爆竹经营许可证的，市应急管理局予以撤销，该经营单位3年内不得再次提出烟花爆竹经营许可申请。</w:t>
      </w:r>
    </w:p>
    <w:p w14:paraId="128333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  <w:lang w:eastAsia="zh-CN"/>
        </w:rPr>
        <w:t>（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仿宋_GB2312"/>
          <w:sz w:val="32"/>
          <w:szCs w:val="32"/>
          <w:lang w:eastAsia="zh-CN"/>
        </w:rPr>
        <w:t>）</w:t>
      </w:r>
      <w:r>
        <w:rPr>
          <w:rFonts w:ascii="宋体" w:hAnsi="宋体" w:eastAsia="仿宋_GB2312"/>
          <w:sz w:val="32"/>
          <w:szCs w:val="32"/>
        </w:rPr>
        <w:t>取得烟花爆竹经营许可证的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经营者</w:t>
      </w:r>
      <w:r>
        <w:rPr>
          <w:rFonts w:ascii="宋体" w:hAnsi="宋体" w:eastAsia="仿宋_GB2312"/>
          <w:sz w:val="32"/>
          <w:szCs w:val="32"/>
        </w:rPr>
        <w:t>依法终止烟花爆竹经营活动的，应当向市</w:t>
      </w:r>
      <w:r>
        <w:rPr>
          <w:rFonts w:hint="eastAsia" w:ascii="宋体" w:hAnsi="宋体" w:eastAsia="仿宋_GB2312"/>
          <w:sz w:val="32"/>
          <w:szCs w:val="32"/>
        </w:rPr>
        <w:t>应急管理</w:t>
      </w:r>
      <w:r>
        <w:rPr>
          <w:rFonts w:ascii="宋体" w:hAnsi="宋体" w:eastAsia="仿宋_GB2312"/>
          <w:sz w:val="32"/>
          <w:szCs w:val="32"/>
        </w:rPr>
        <w:t>局申请注销其经营许可证。</w:t>
      </w:r>
    </w:p>
    <w:p w14:paraId="77EE29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sz w:val="32"/>
          <w:szCs w:val="32"/>
        </w:rPr>
        <w:t>（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仿宋_GB2312"/>
          <w:sz w:val="32"/>
          <w:szCs w:val="32"/>
        </w:rPr>
        <w:t>）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鼓励零售店（点）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安装可实现内外部全覆盖实时监测的视频监测设备、具备语音提示和声音报警功能的音频提醒设备。</w:t>
      </w:r>
    </w:p>
    <w:p w14:paraId="5B4F7C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  <w:lang w:eastAsia="zh-CN"/>
        </w:rPr>
        <w:t>（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七</w:t>
      </w:r>
      <w:r>
        <w:rPr>
          <w:rFonts w:hint="eastAsia" w:ascii="宋体" w:hAnsi="宋体" w:eastAsia="仿宋_GB2312"/>
          <w:sz w:val="32"/>
          <w:szCs w:val="32"/>
          <w:lang w:eastAsia="zh-CN"/>
        </w:rPr>
        <w:t>）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公开举报电话，鼓励举报、奖励举报。</w:t>
      </w:r>
      <w:r>
        <w:rPr>
          <w:rFonts w:hint="eastAsia" w:ascii="宋体" w:hAnsi="宋体" w:eastAsia="仿宋_GB2312"/>
          <w:sz w:val="32"/>
          <w:szCs w:val="32"/>
        </w:rPr>
        <w:t xml:space="preserve"> </w:t>
      </w:r>
      <w:r>
        <w:rPr>
          <w:rFonts w:ascii="宋体" w:hAnsi="宋体" w:eastAsia="仿宋_GB2312"/>
          <w:sz w:val="32"/>
          <w:szCs w:val="32"/>
        </w:rPr>
        <w:t xml:space="preserve"> </w:t>
      </w:r>
    </w:p>
    <w:p w14:paraId="4980AF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default" w:ascii="宋体" w:hAnsi="宋体" w:eastAsia="黑体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sz w:val="32"/>
          <w:szCs w:val="32"/>
          <w:lang w:val="en-US" w:eastAsia="zh-CN"/>
        </w:rPr>
        <w:t>六、附则</w:t>
      </w:r>
    </w:p>
    <w:p w14:paraId="5A6DCA0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jc w:val="left"/>
        <w:textAlignment w:val="auto"/>
        <w:rPr>
          <w:rFonts w:hint="eastAsia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sz w:val="32"/>
          <w:szCs w:val="32"/>
          <w:lang w:val="en-US" w:eastAsia="zh-CN"/>
        </w:rPr>
        <w:t>（一）本规划方案自发布之日起施行。实施过程中，如遇国家、省、市相关法律法规、政策标准调整，按照新规定执行。</w:t>
      </w:r>
    </w:p>
    <w:p w14:paraId="4275651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jc w:val="left"/>
        <w:textAlignment w:val="auto"/>
        <w:rPr>
          <w:rFonts w:hint="eastAsia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sz w:val="32"/>
          <w:szCs w:val="32"/>
          <w:lang w:val="en-US" w:eastAsia="zh-CN"/>
        </w:rPr>
        <w:t>（二）本规划方案由市应急管理局负责解释。</w:t>
      </w:r>
    </w:p>
    <w:p w14:paraId="2A9F3C4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jc w:val="left"/>
        <w:textAlignment w:val="auto"/>
        <w:rPr>
          <w:rFonts w:hint="default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sz w:val="32"/>
          <w:szCs w:val="32"/>
          <w:lang w:val="en-US" w:eastAsia="zh-CN"/>
        </w:rPr>
        <w:t>（三）本规划方案发布前已取得烟花爆竹经营（零售）许可证的零售店（点），按照本规划第四条实施步骤逐步调整到位。过渡实施阶段当期无零售店经营申请的，零售店名额可调整为零售点名额。</w:t>
      </w:r>
    </w:p>
    <w:p w14:paraId="6ADCBA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jc w:val="left"/>
        <w:textAlignment w:val="auto"/>
        <w:rPr>
          <w:rFonts w:hint="eastAsia" w:ascii="宋体" w:hAnsi="宋体" w:eastAsia="仿宋_GB2312"/>
          <w:sz w:val="32"/>
          <w:szCs w:val="32"/>
          <w:lang w:val="en-US" w:eastAsia="zh-CN"/>
        </w:rPr>
      </w:pPr>
    </w:p>
    <w:p w14:paraId="09AC24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jc w:val="left"/>
        <w:textAlignment w:val="auto"/>
        <w:rPr>
          <w:rFonts w:hint="eastAsia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sz w:val="32"/>
          <w:szCs w:val="32"/>
          <w:lang w:val="en-US" w:eastAsia="zh-CN"/>
        </w:rPr>
        <w:t>附件1.恩平市烟花爆竹零售店（点）总体控制数量指标</w:t>
      </w:r>
    </w:p>
    <w:p w14:paraId="0CC70F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86" w:leftChars="304" w:hanging="954" w:hangingChars="300"/>
        <w:jc w:val="left"/>
        <w:textAlignment w:val="auto"/>
        <w:rPr>
          <w:rFonts w:hint="default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sz w:val="32"/>
          <w:szCs w:val="32"/>
          <w:lang w:val="en-US" w:eastAsia="zh-CN"/>
        </w:rPr>
        <w:t xml:space="preserve">    2.恩平市过渡实施阶段报名时段烟花爆竹零售店（点）存量情况</w:t>
      </w:r>
    </w:p>
    <w:p w14:paraId="563270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72" w:firstLineChars="400"/>
        <w:jc w:val="left"/>
        <w:textAlignment w:val="auto"/>
        <w:rPr>
          <w:rFonts w:hint="default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sz w:val="32"/>
          <w:szCs w:val="32"/>
          <w:lang w:val="en-US" w:eastAsia="zh-CN"/>
        </w:rPr>
        <w:t>3.恩平市各镇圩禁设烟花爆竹零售店（点）示意图</w:t>
      </w:r>
    </w:p>
    <w:p w14:paraId="666123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jc w:val="left"/>
        <w:textAlignment w:val="auto"/>
        <w:rPr>
          <w:rFonts w:hint="eastAsia" w:ascii="宋体" w:hAnsi="宋体" w:eastAsia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sz w:val="32"/>
          <w:szCs w:val="32"/>
          <w:lang w:val="en-US" w:eastAsia="zh-CN"/>
        </w:rPr>
        <w:t xml:space="preserve">            </w:t>
      </w:r>
    </w:p>
    <w:p w14:paraId="0437EF82">
      <w:pPr>
        <w:ind w:firstLine="636" w:firstLineChars="20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宋体" w:hAnsi="宋体" w:eastAsia="仿宋_GB2312"/>
          <w:sz w:val="32"/>
          <w:szCs w:val="32"/>
        </w:rPr>
        <w:t xml:space="preserve">               </w:t>
      </w:r>
    </w:p>
    <w:p w14:paraId="23BFA14E">
      <w:pPr>
        <w:ind w:firstLine="636" w:firstLineChars="20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宋体" w:hAnsi="宋体" w:eastAsia="仿宋_GB2312"/>
          <w:sz w:val="32"/>
          <w:szCs w:val="32"/>
        </w:rPr>
        <w:t xml:space="preserve">                   </w:t>
      </w:r>
    </w:p>
    <w:p w14:paraId="3B6500C3">
      <w:pPr>
        <w:ind w:firstLine="636" w:firstLineChars="20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宋体" w:hAnsi="宋体" w:eastAsia="仿宋_GB2312"/>
          <w:sz w:val="32"/>
          <w:szCs w:val="32"/>
        </w:rPr>
        <w:t xml:space="preserve">                </w:t>
      </w:r>
    </w:p>
    <w:p w14:paraId="66C3B478">
      <w:pPr>
        <w:ind w:firstLine="636" w:firstLineChars="20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宋体" w:hAnsi="宋体" w:eastAsia="仿宋_GB2312"/>
          <w:sz w:val="32"/>
          <w:szCs w:val="32"/>
        </w:rPr>
        <w:t xml:space="preserve">            </w:t>
      </w:r>
    </w:p>
    <w:p w14:paraId="5CBB99F9">
      <w:pPr>
        <w:ind w:firstLine="636" w:firstLineChars="20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宋体" w:hAnsi="宋体" w:eastAsia="仿宋_GB2312"/>
          <w:sz w:val="32"/>
          <w:szCs w:val="32"/>
        </w:rPr>
        <w:t xml:space="preserve">                                       </w:t>
      </w:r>
    </w:p>
    <w:p w14:paraId="3AEBF868">
      <w:pPr>
        <w:ind w:firstLine="636" w:firstLineChars="20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宋体" w:hAnsi="宋体" w:eastAsia="仿宋_GB2312"/>
          <w:sz w:val="32"/>
          <w:szCs w:val="32"/>
        </w:rPr>
        <w:t xml:space="preserve">        </w:t>
      </w:r>
    </w:p>
    <w:p w14:paraId="468EB0B5">
      <w:pPr>
        <w:ind w:firstLine="636" w:firstLineChars="200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宋体" w:hAnsi="宋体" w:eastAsia="仿宋_GB2312"/>
          <w:sz w:val="32"/>
          <w:szCs w:val="32"/>
        </w:rPr>
        <w:t xml:space="preserve">            </w:t>
      </w:r>
    </w:p>
    <w:p w14:paraId="18348869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r>
        <w:rPr>
          <w:rFonts w:hint="eastAsia" w:ascii="黑体" w:hAnsi="黑体" w:eastAsia="黑体" w:cs="黑体"/>
          <w:sz w:val="32"/>
          <w:szCs w:val="32"/>
        </w:rPr>
        <w:t xml:space="preserve">    </w:t>
      </w:r>
    </w:p>
    <w:p w14:paraId="3DF51AFE">
      <w:pPr>
        <w:spacing w:line="70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恩平市烟花爆竹零售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店（</w:t>
      </w:r>
      <w:r>
        <w:rPr>
          <w:rFonts w:hint="eastAsia" w:ascii="方正小标宋简体" w:hAnsi="宋体" w:eastAsia="方正小标宋简体"/>
          <w:sz w:val="36"/>
          <w:szCs w:val="36"/>
        </w:rPr>
        <w:t>点</w:t>
      </w:r>
      <w:r>
        <w:rPr>
          <w:rFonts w:hint="eastAsia" w:ascii="方正小标宋简体" w:hAnsi="宋体" w:eastAsia="方正小标宋简体"/>
          <w:sz w:val="36"/>
          <w:szCs w:val="36"/>
          <w:lang w:eastAsia="zh-CN"/>
        </w:rPr>
        <w:t>）</w:t>
      </w:r>
      <w:r>
        <w:rPr>
          <w:rFonts w:hint="eastAsia" w:ascii="方正小标宋简体" w:hAnsi="宋体" w:eastAsia="方正小标宋简体"/>
          <w:sz w:val="36"/>
          <w:szCs w:val="36"/>
        </w:rPr>
        <w:t>总体控制数量指标</w:t>
      </w:r>
    </w:p>
    <w:p w14:paraId="792C83C4">
      <w:pPr>
        <w:jc w:val="center"/>
        <w:rPr>
          <w:rFonts w:ascii="宋体" w:hAnsi="宋体"/>
          <w:sz w:val="32"/>
          <w:szCs w:val="32"/>
        </w:rPr>
      </w:pPr>
    </w:p>
    <w:tbl>
      <w:tblPr>
        <w:tblStyle w:val="22"/>
        <w:tblW w:w="8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5"/>
        <w:gridCol w:w="1594"/>
        <w:gridCol w:w="5400"/>
      </w:tblGrid>
      <w:tr w14:paraId="497F1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Align w:val="center"/>
          </w:tcPr>
          <w:p w14:paraId="4F162B4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镇（街）</w:t>
            </w:r>
          </w:p>
        </w:tc>
        <w:tc>
          <w:tcPr>
            <w:tcW w:w="1594" w:type="dxa"/>
            <w:vAlign w:val="center"/>
          </w:tcPr>
          <w:p w14:paraId="41C71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控制数量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(</w:t>
            </w:r>
            <w:r>
              <w:rPr>
                <w:rFonts w:ascii="仿宋_GB2312" w:eastAsia="仿宋_GB2312"/>
                <w:sz w:val="32"/>
                <w:szCs w:val="32"/>
              </w:rPr>
              <w:t>家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)</w:t>
            </w:r>
          </w:p>
        </w:tc>
        <w:tc>
          <w:tcPr>
            <w:tcW w:w="5400" w:type="dxa"/>
            <w:vAlign w:val="center"/>
          </w:tcPr>
          <w:p w14:paraId="7E596C53">
            <w:pPr>
              <w:spacing w:line="56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布点地段</w:t>
            </w:r>
          </w:p>
        </w:tc>
      </w:tr>
      <w:tr w14:paraId="2FAB7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95" w:type="dxa"/>
            <w:vMerge w:val="restart"/>
            <w:vAlign w:val="center"/>
          </w:tcPr>
          <w:p w14:paraId="31A41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恩城街道（共</w:t>
            </w: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家，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其中长期固定零售店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最为多</w:t>
            </w: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家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）</w:t>
            </w:r>
          </w:p>
        </w:tc>
        <w:tc>
          <w:tcPr>
            <w:tcW w:w="1594" w:type="dxa"/>
            <w:vAlign w:val="center"/>
          </w:tcPr>
          <w:p w14:paraId="248E6A67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23ECB4CC">
            <w:pPr>
              <w:spacing w:line="56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塘劳、禄平、新楼村委会辖区</w:t>
            </w:r>
          </w:p>
        </w:tc>
      </w:tr>
      <w:tr w14:paraId="77E38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95" w:type="dxa"/>
            <w:vMerge w:val="continue"/>
            <w:vAlign w:val="center"/>
          </w:tcPr>
          <w:p w14:paraId="4657DC31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784EC710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6D875228">
            <w:pPr>
              <w:spacing w:line="56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联合、西安、沙联村委会辖区</w:t>
            </w:r>
          </w:p>
        </w:tc>
      </w:tr>
      <w:tr w14:paraId="12079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95" w:type="dxa"/>
            <w:vMerge w:val="continue"/>
            <w:vAlign w:val="center"/>
          </w:tcPr>
          <w:p w14:paraId="68C92D2D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1BCD822B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1138C5DF">
            <w:pPr>
              <w:spacing w:line="56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茶坑村委会辖区</w:t>
            </w:r>
          </w:p>
        </w:tc>
      </w:tr>
      <w:tr w14:paraId="4889F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95" w:type="dxa"/>
            <w:vMerge w:val="continue"/>
            <w:vAlign w:val="center"/>
          </w:tcPr>
          <w:p w14:paraId="575B79E3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2F903278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3E58463D">
            <w:pPr>
              <w:spacing w:line="56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中南、米仓、南联村委会辖区</w:t>
            </w:r>
          </w:p>
        </w:tc>
      </w:tr>
      <w:tr w14:paraId="482B8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95" w:type="dxa"/>
            <w:vMerge w:val="continue"/>
            <w:vAlign w:val="center"/>
          </w:tcPr>
          <w:p w14:paraId="6DD3B318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5879C3EB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229E9D91">
            <w:pPr>
              <w:spacing w:line="56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石泉、石联村委会辖区</w:t>
            </w:r>
          </w:p>
        </w:tc>
      </w:tr>
      <w:tr w14:paraId="301B4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95" w:type="dxa"/>
            <w:vMerge w:val="continue"/>
            <w:vAlign w:val="center"/>
          </w:tcPr>
          <w:p w14:paraId="09FA407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05C441E9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47D37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石栏、石青村委会辖区</w:t>
            </w:r>
          </w:p>
        </w:tc>
      </w:tr>
      <w:tr w14:paraId="1991B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95" w:type="dxa"/>
            <w:vMerge w:val="continue"/>
            <w:vAlign w:val="center"/>
          </w:tcPr>
          <w:p w14:paraId="769249EC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719706AC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3AA7D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平塘、锦岗、顶冲、平富岗村委会辖区</w:t>
            </w:r>
          </w:p>
        </w:tc>
      </w:tr>
      <w:tr w14:paraId="3DAAC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restart"/>
            <w:vAlign w:val="center"/>
          </w:tcPr>
          <w:p w14:paraId="5DACA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沙湖镇</w:t>
            </w:r>
          </w:p>
          <w:p w14:paraId="7DE46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家，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其中长期固定零售店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最为多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家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594" w:type="dxa"/>
            <w:vAlign w:val="center"/>
          </w:tcPr>
          <w:p w14:paraId="65A9E31C">
            <w:pPr>
              <w:spacing w:line="5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2FC43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南坑、浴水、那梨、伍边、李边、南闸、咀厚村委会辖区</w:t>
            </w:r>
          </w:p>
        </w:tc>
      </w:tr>
      <w:tr w14:paraId="2446E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continue"/>
            <w:vAlign w:val="center"/>
          </w:tcPr>
          <w:p w14:paraId="523D550A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63C360FF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23B9C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圩镇社区居委会、圣园、和平、横陂、下凯、上凯、高园、南平、水楼村委会辖区</w:t>
            </w:r>
          </w:p>
        </w:tc>
      </w:tr>
      <w:tr w14:paraId="324C6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continue"/>
            <w:vAlign w:val="center"/>
          </w:tcPr>
          <w:p w14:paraId="492448DC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6F7D08DF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57BFD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乌石、关村、成平、扁冲、南塘、东岸村委会辖区</w:t>
            </w:r>
          </w:p>
        </w:tc>
      </w:tr>
      <w:tr w14:paraId="08D04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Align w:val="center"/>
          </w:tcPr>
          <w:p w14:paraId="485E0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牛江镇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家，其中长期固定零售店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最为多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家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594" w:type="dxa"/>
            <w:vAlign w:val="center"/>
          </w:tcPr>
          <w:p w14:paraId="4F5A981E">
            <w:pPr>
              <w:spacing w:line="5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5400" w:type="dxa"/>
            <w:vAlign w:val="center"/>
          </w:tcPr>
          <w:p w14:paraId="519AE683">
            <w:pPr>
              <w:spacing w:line="560" w:lineRule="exact"/>
              <w:jc w:val="center"/>
              <w:rPr>
                <w:rFonts w:hint="eastAsia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镇域范围（禁设区域除外）</w:t>
            </w:r>
          </w:p>
        </w:tc>
      </w:tr>
      <w:tr w14:paraId="1B84F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restart"/>
            <w:vAlign w:val="center"/>
          </w:tcPr>
          <w:p w14:paraId="0568D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君堂镇</w:t>
            </w:r>
          </w:p>
          <w:p w14:paraId="65CEA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家，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其中长期固定零售店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最为多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家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594" w:type="dxa"/>
            <w:vAlign w:val="center"/>
          </w:tcPr>
          <w:p w14:paraId="0326C758">
            <w:pPr>
              <w:spacing w:line="5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297DD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江洲圩居委会、太平、东北雁、永华、中安、沙冈、平安、西园、堡城村委会辖区</w:t>
            </w:r>
          </w:p>
        </w:tc>
      </w:tr>
      <w:tr w14:paraId="6EC1A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continue"/>
            <w:vAlign w:val="center"/>
          </w:tcPr>
          <w:p w14:paraId="37A4AAAD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48FAA11F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4342E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君堂圩居委会、新君、塘库、黎塘、新塘、潢步头村委会辖区</w:t>
            </w:r>
          </w:p>
        </w:tc>
      </w:tr>
      <w:tr w14:paraId="35EAB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continue"/>
            <w:vAlign w:val="center"/>
          </w:tcPr>
          <w:p w14:paraId="2B5BE368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25E4B8CF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4E130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大湾、清湖、琅哥、石潭、杨屋村委会辖区</w:t>
            </w:r>
          </w:p>
        </w:tc>
      </w:tr>
      <w:tr w14:paraId="1DD12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restart"/>
            <w:vAlign w:val="center"/>
          </w:tcPr>
          <w:p w14:paraId="19C39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圣堂镇</w:t>
            </w:r>
          </w:p>
          <w:p w14:paraId="552C8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家，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其中长期固定零售店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最为多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家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594" w:type="dxa"/>
            <w:vAlign w:val="center"/>
          </w:tcPr>
          <w:p w14:paraId="74D8057C">
            <w:pPr>
              <w:spacing w:line="5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7DD4A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三联、歇马、进职、长安、湴朗村委会辖区</w:t>
            </w:r>
          </w:p>
        </w:tc>
      </w:tr>
      <w:tr w14:paraId="5A589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continue"/>
            <w:vAlign w:val="center"/>
          </w:tcPr>
          <w:p w14:paraId="74106C4E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78977811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4F9ECD05">
            <w:pPr>
              <w:spacing w:line="56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三山、区村、水塘村委会辖区</w:t>
            </w:r>
          </w:p>
        </w:tc>
      </w:tr>
      <w:tr w14:paraId="2AFEB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continue"/>
            <w:vAlign w:val="center"/>
          </w:tcPr>
          <w:p w14:paraId="539E50FA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3E8A46C4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622B8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圩镇居委会、塘龙、龙塘、根竹头村委会辖区</w:t>
            </w:r>
          </w:p>
        </w:tc>
      </w:tr>
      <w:tr w14:paraId="22A9A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Align w:val="center"/>
          </w:tcPr>
          <w:p w14:paraId="74225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良西镇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家，其中长期固定零售店最为多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594" w:type="dxa"/>
            <w:vAlign w:val="center"/>
          </w:tcPr>
          <w:p w14:paraId="7AFF9E6C">
            <w:pPr>
              <w:spacing w:line="5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5400" w:type="dxa"/>
            <w:vAlign w:val="center"/>
          </w:tcPr>
          <w:p w14:paraId="0CDCDB8E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镇域范围（禁设区域除外）</w:t>
            </w:r>
          </w:p>
        </w:tc>
      </w:tr>
      <w:tr w14:paraId="6B957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restart"/>
            <w:vAlign w:val="center"/>
          </w:tcPr>
          <w:p w14:paraId="4501A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东成镇</w:t>
            </w:r>
          </w:p>
          <w:p w14:paraId="7D665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家，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其中长期固定零售店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最为多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家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594" w:type="dxa"/>
            <w:vAlign w:val="center"/>
          </w:tcPr>
          <w:p w14:paraId="7F474389">
            <w:pPr>
              <w:spacing w:line="5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084E4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横槎、顺槎、祝荷、塘洲、金坑、东新村委会辖区</w:t>
            </w:r>
          </w:p>
        </w:tc>
      </w:tr>
      <w:tr w14:paraId="307F8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continue"/>
            <w:vAlign w:val="center"/>
          </w:tcPr>
          <w:p w14:paraId="2F8368B6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6B4E937F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7465C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圩镇居委会、石路、四联村委会辖区</w:t>
            </w:r>
          </w:p>
        </w:tc>
      </w:tr>
      <w:tr w14:paraId="3E4DB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continue"/>
            <w:vAlign w:val="center"/>
          </w:tcPr>
          <w:p w14:paraId="5F9B43A8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330F8BDF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1A246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上绵湖、下绵湖、石岗、石桥头、牛皮塘、横岗头、鹿颈村委会辖区</w:t>
            </w:r>
          </w:p>
        </w:tc>
      </w:tr>
      <w:tr w14:paraId="7F7A7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restart"/>
            <w:vAlign w:val="center"/>
          </w:tcPr>
          <w:p w14:paraId="57D6B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大田镇</w:t>
            </w:r>
          </w:p>
          <w:p w14:paraId="484E9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共</w:t>
            </w: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家，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其中长期固定零售店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最为多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家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594" w:type="dxa"/>
            <w:vAlign w:val="center"/>
          </w:tcPr>
          <w:p w14:paraId="64DA1DCD">
            <w:pPr>
              <w:spacing w:line="5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7449A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朗底圩居委会、朗北、朗西、东南村委会辖区</w:t>
            </w:r>
          </w:p>
        </w:tc>
      </w:tr>
      <w:tr w14:paraId="7D1F6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continue"/>
            <w:vAlign w:val="center"/>
          </w:tcPr>
          <w:p w14:paraId="468901D7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170E478A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36886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大田圩居委会、石山、华南、上南村委会辖区</w:t>
            </w:r>
          </w:p>
        </w:tc>
      </w:tr>
      <w:tr w14:paraId="013ED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continue"/>
            <w:vAlign w:val="center"/>
          </w:tcPr>
          <w:p w14:paraId="25070C89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038C1866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67A1F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黄沙、白石、北合、炉塘村委会辖区</w:t>
            </w:r>
          </w:p>
        </w:tc>
      </w:tr>
      <w:tr w14:paraId="433D7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restart"/>
            <w:vAlign w:val="center"/>
          </w:tcPr>
          <w:p w14:paraId="20FBD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横陂镇</w:t>
            </w:r>
          </w:p>
          <w:p w14:paraId="43A84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共</w:t>
            </w: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家，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其中长期固定零售店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最为多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家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594" w:type="dxa"/>
            <w:vAlign w:val="center"/>
          </w:tcPr>
          <w:p w14:paraId="24173720">
            <w:pPr>
              <w:spacing w:line="5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6D8C2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洪滘圩居委会、塘莲、湾海、新潮、围边、蓝田、元山、大亨村委会辖区</w:t>
            </w:r>
          </w:p>
        </w:tc>
      </w:tr>
      <w:tr w14:paraId="0FCDF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continue"/>
            <w:vAlign w:val="center"/>
          </w:tcPr>
          <w:p w14:paraId="03B2D710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5609E337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047DA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横陂圩居委会、虾山、白庙、白银、岐联、横东村委会辖区</w:t>
            </w:r>
          </w:p>
        </w:tc>
      </w:tr>
      <w:tr w14:paraId="1EE4C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Merge w:val="continue"/>
            <w:vAlign w:val="center"/>
          </w:tcPr>
          <w:p w14:paraId="10404B9D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94" w:type="dxa"/>
            <w:vAlign w:val="center"/>
          </w:tcPr>
          <w:p w14:paraId="5F3E5E98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400" w:type="dxa"/>
            <w:vAlign w:val="center"/>
          </w:tcPr>
          <w:p w14:paraId="5C3DB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横盘、横南、西联、横平、甘围、横西、南华村委会辖区</w:t>
            </w:r>
          </w:p>
        </w:tc>
      </w:tr>
      <w:tr w14:paraId="59660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Align w:val="center"/>
          </w:tcPr>
          <w:p w14:paraId="2CD6E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大槐镇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家，其中长期固定零售店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最为多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家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594" w:type="dxa"/>
            <w:vAlign w:val="center"/>
          </w:tcPr>
          <w:p w14:paraId="3899424F">
            <w:pPr>
              <w:spacing w:line="5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5400" w:type="dxa"/>
            <w:vAlign w:val="center"/>
          </w:tcPr>
          <w:p w14:paraId="6681197F">
            <w:pPr>
              <w:spacing w:line="560" w:lineRule="exact"/>
              <w:jc w:val="center"/>
              <w:rPr>
                <w:rFonts w:hint="eastAsia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镇域范围（禁设区域除外）</w:t>
            </w:r>
          </w:p>
        </w:tc>
      </w:tr>
      <w:tr w14:paraId="7BCA2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Align w:val="center"/>
          </w:tcPr>
          <w:p w14:paraId="54901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那吉镇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家，其中长期固定零售店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最为多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家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594" w:type="dxa"/>
            <w:vAlign w:val="center"/>
          </w:tcPr>
          <w:p w14:paraId="3A0D7110">
            <w:pPr>
              <w:spacing w:line="5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5400" w:type="dxa"/>
            <w:vAlign w:val="center"/>
          </w:tcPr>
          <w:p w14:paraId="4EDDB290">
            <w:pPr>
              <w:spacing w:line="560" w:lineRule="exact"/>
              <w:jc w:val="center"/>
              <w:rPr>
                <w:rFonts w:hint="eastAsia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镇域范围（禁设区域除外）</w:t>
            </w:r>
          </w:p>
        </w:tc>
      </w:tr>
      <w:tr w14:paraId="44026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vAlign w:val="center"/>
          </w:tcPr>
          <w:p w14:paraId="34AFE092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总计</w:t>
            </w:r>
          </w:p>
        </w:tc>
        <w:tc>
          <w:tcPr>
            <w:tcW w:w="1594" w:type="dxa"/>
            <w:vAlign w:val="center"/>
          </w:tcPr>
          <w:p w14:paraId="19FA0E46">
            <w:pPr>
              <w:spacing w:line="5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32"/>
                <w:szCs w:val="32"/>
                <w:lang w:val="en-US" w:eastAsia="zh-CN"/>
              </w:rPr>
              <w:t>33</w:t>
            </w:r>
          </w:p>
        </w:tc>
        <w:tc>
          <w:tcPr>
            <w:tcW w:w="5400" w:type="dxa"/>
            <w:vAlign w:val="center"/>
          </w:tcPr>
          <w:p w14:paraId="36B9845F"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市域范围（禁设区域除外）</w:t>
            </w:r>
          </w:p>
        </w:tc>
      </w:tr>
    </w:tbl>
    <w:p w14:paraId="52F9BDC4">
      <w:pPr>
        <w:pStyle w:val="2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D51D6BB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FCC251E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C43E5C6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3581427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BBAA04E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C9B323E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7E4D57B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ADDFE4B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6007730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9B21369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FD50D3C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69A9E51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0DAC62E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01DE5DB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  <w:r>
        <w:rPr>
          <w:rFonts w:hint="eastAsia" w:ascii="黑体" w:hAnsi="黑体" w:eastAsia="黑体" w:cs="黑体"/>
          <w:sz w:val="32"/>
          <w:szCs w:val="32"/>
        </w:rPr>
        <w:t xml:space="preserve">    </w:t>
      </w:r>
    </w:p>
    <w:p w14:paraId="59445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恩平市过渡实施阶段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报名时段</w:t>
      </w:r>
      <w:r>
        <w:rPr>
          <w:rFonts w:hint="eastAsia" w:ascii="方正小标宋简体" w:hAnsi="宋体" w:eastAsia="方正小标宋简体"/>
          <w:sz w:val="36"/>
          <w:szCs w:val="36"/>
        </w:rPr>
        <w:t>烟花爆竹</w:t>
      </w:r>
    </w:p>
    <w:p w14:paraId="3C352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零售店（点）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存量</w:t>
      </w:r>
      <w:r>
        <w:rPr>
          <w:rFonts w:hint="eastAsia" w:ascii="方正小标宋简体" w:hAnsi="宋体" w:eastAsia="方正小标宋简体"/>
          <w:sz w:val="36"/>
          <w:szCs w:val="36"/>
        </w:rPr>
        <w:t>情况</w:t>
      </w:r>
    </w:p>
    <w:p w14:paraId="3CE7FA8F">
      <w:pPr>
        <w:jc w:val="center"/>
        <w:rPr>
          <w:rFonts w:ascii="宋体" w:hAnsi="宋体"/>
          <w:sz w:val="32"/>
          <w:szCs w:val="32"/>
        </w:rPr>
      </w:pPr>
    </w:p>
    <w:tbl>
      <w:tblPr>
        <w:tblStyle w:val="22"/>
        <w:tblW w:w="9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3707"/>
        <w:gridCol w:w="2473"/>
        <w:gridCol w:w="2389"/>
      </w:tblGrid>
      <w:tr w14:paraId="54F79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Align w:val="center"/>
          </w:tcPr>
          <w:p w14:paraId="0C367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镇（街）</w:t>
            </w:r>
          </w:p>
        </w:tc>
        <w:tc>
          <w:tcPr>
            <w:tcW w:w="3707" w:type="dxa"/>
            <w:vAlign w:val="center"/>
          </w:tcPr>
          <w:p w14:paraId="718D6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布点地段规划控制数</w:t>
            </w:r>
          </w:p>
        </w:tc>
        <w:tc>
          <w:tcPr>
            <w:tcW w:w="2473" w:type="dxa"/>
            <w:vAlign w:val="center"/>
          </w:tcPr>
          <w:p w14:paraId="5AB47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至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28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日（农历腊月廿十日）存量数</w:t>
            </w:r>
          </w:p>
        </w:tc>
        <w:tc>
          <w:tcPr>
            <w:tcW w:w="2389" w:type="dxa"/>
            <w:vAlign w:val="center"/>
          </w:tcPr>
          <w:p w14:paraId="027B2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至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2028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16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日（农历腊月廿十日）存量数</w:t>
            </w:r>
          </w:p>
        </w:tc>
      </w:tr>
      <w:tr w14:paraId="03A7E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3" w:type="dxa"/>
            <w:vMerge w:val="restart"/>
            <w:vAlign w:val="center"/>
          </w:tcPr>
          <w:p w14:paraId="60584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恩城街道（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年可申请</w:t>
            </w: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个）</w:t>
            </w:r>
          </w:p>
        </w:tc>
        <w:tc>
          <w:tcPr>
            <w:tcW w:w="3707" w:type="dxa"/>
            <w:vAlign w:val="center"/>
          </w:tcPr>
          <w:p w14:paraId="1BB58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塘劳、禄平、新楼村委会辖区共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502E1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7ECF0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771BD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3" w:type="dxa"/>
            <w:vMerge w:val="continue"/>
            <w:vAlign w:val="center"/>
          </w:tcPr>
          <w:p w14:paraId="117B3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6BD6E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联合、西安、沙联村委会辖区共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4D5AF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56D7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6DB1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3" w:type="dxa"/>
            <w:vMerge w:val="continue"/>
            <w:vAlign w:val="center"/>
          </w:tcPr>
          <w:p w14:paraId="3AAEF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29845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茶坑村委会辖区共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735A4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2A005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1FDA0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3" w:type="dxa"/>
            <w:vMerge w:val="continue"/>
            <w:vAlign w:val="center"/>
          </w:tcPr>
          <w:p w14:paraId="6C46F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5579B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中南、米仓、南联村委会辖区共</w:t>
            </w: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34D90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59A11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3167D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3" w:type="dxa"/>
            <w:vMerge w:val="continue"/>
            <w:vAlign w:val="center"/>
          </w:tcPr>
          <w:p w14:paraId="7756A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6D7D0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石泉、石联村委会辖区共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6D8BA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2D6D6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79B8E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3" w:type="dxa"/>
            <w:vMerge w:val="continue"/>
            <w:vAlign w:val="center"/>
          </w:tcPr>
          <w:p w14:paraId="5E356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374CD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石栏、石青村委会辖区共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74697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2853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011D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3" w:type="dxa"/>
            <w:vMerge w:val="continue"/>
            <w:vAlign w:val="center"/>
          </w:tcPr>
          <w:p w14:paraId="667B0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1ADD7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平塘、锦岗、顶冲、平富岗村委会辖区共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49DDE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3FD06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788EC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restart"/>
            <w:vAlign w:val="center"/>
          </w:tcPr>
          <w:p w14:paraId="13778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沙湖镇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年可申请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个）</w:t>
            </w:r>
          </w:p>
        </w:tc>
        <w:tc>
          <w:tcPr>
            <w:tcW w:w="3707" w:type="dxa"/>
            <w:vAlign w:val="center"/>
          </w:tcPr>
          <w:p w14:paraId="71EB3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南坑、浴水、那梨、伍边、李边、南闸、咀厚村委会辖区共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328FE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08700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4CD62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continue"/>
            <w:vAlign w:val="center"/>
          </w:tcPr>
          <w:p w14:paraId="2B9A9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26593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圩镇社区居委会、圣园、和平、横陂、下凯、上凯、高园、南平、水楼村委会辖区共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45728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389" w:type="dxa"/>
            <w:vAlign w:val="center"/>
          </w:tcPr>
          <w:p w14:paraId="16F58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7E543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continue"/>
            <w:vAlign w:val="center"/>
          </w:tcPr>
          <w:p w14:paraId="5272E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5410A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乌石、关村、成平、扁冲、南塘、东岸村委会辖区共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0F585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389" w:type="dxa"/>
            <w:vAlign w:val="center"/>
          </w:tcPr>
          <w:p w14:paraId="40BA9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48EA3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Align w:val="center"/>
          </w:tcPr>
          <w:p w14:paraId="228C4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牛江镇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年可申请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个）</w:t>
            </w:r>
          </w:p>
        </w:tc>
        <w:tc>
          <w:tcPr>
            <w:tcW w:w="3707" w:type="dxa"/>
            <w:vAlign w:val="center"/>
          </w:tcPr>
          <w:p w14:paraId="55289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镇域范围（禁设区域除外）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27C4F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389" w:type="dxa"/>
            <w:vAlign w:val="center"/>
          </w:tcPr>
          <w:p w14:paraId="4EC78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</w:p>
        </w:tc>
      </w:tr>
      <w:tr w14:paraId="5644C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restart"/>
            <w:vAlign w:val="center"/>
          </w:tcPr>
          <w:p w14:paraId="0AD5E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君堂镇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年可申请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个）</w:t>
            </w:r>
          </w:p>
        </w:tc>
        <w:tc>
          <w:tcPr>
            <w:tcW w:w="3707" w:type="dxa"/>
            <w:vAlign w:val="center"/>
          </w:tcPr>
          <w:p w14:paraId="75265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江洲圩居委会、太平、东北雁、永华、中安、沙冈、平安、西园、堡城村委会辖区共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56DA6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389" w:type="dxa"/>
            <w:vAlign w:val="center"/>
          </w:tcPr>
          <w:p w14:paraId="3BC4B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</w:p>
        </w:tc>
      </w:tr>
      <w:tr w14:paraId="5385B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continue"/>
            <w:vAlign w:val="center"/>
          </w:tcPr>
          <w:p w14:paraId="04E99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432C9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君堂圩居委会、新君、塘库、黎塘、新塘、潢步头村委会辖区共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03CA0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05C95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1011E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continue"/>
            <w:vAlign w:val="center"/>
          </w:tcPr>
          <w:p w14:paraId="6D620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2BE74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大湾、清湖、琅哥、石潭、杨屋村委会辖区共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4F2E0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7CAE5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0885B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restart"/>
            <w:vAlign w:val="center"/>
          </w:tcPr>
          <w:p w14:paraId="49874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圣堂镇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年可申请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个）</w:t>
            </w:r>
          </w:p>
        </w:tc>
        <w:tc>
          <w:tcPr>
            <w:tcW w:w="3707" w:type="dxa"/>
            <w:vAlign w:val="center"/>
          </w:tcPr>
          <w:p w14:paraId="161EC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三联、歇马、进职、长安、湴朗村委会辖区共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4CE48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0F9F5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2F6B0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continue"/>
            <w:vAlign w:val="center"/>
          </w:tcPr>
          <w:p w14:paraId="4DCD1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3C464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三山、区村、水塘村委会辖区共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614A6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389" w:type="dxa"/>
            <w:vAlign w:val="center"/>
          </w:tcPr>
          <w:p w14:paraId="65116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</w:p>
        </w:tc>
      </w:tr>
      <w:tr w14:paraId="3E879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continue"/>
            <w:vAlign w:val="center"/>
          </w:tcPr>
          <w:p w14:paraId="40F8A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698D8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圩镇居委会、塘龙、龙塘、根竹头村委会辖区共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218BD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389" w:type="dxa"/>
            <w:vAlign w:val="center"/>
          </w:tcPr>
          <w:p w14:paraId="4BA60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0574D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Align w:val="center"/>
          </w:tcPr>
          <w:p w14:paraId="6CA4C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良西镇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年可申请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个）</w:t>
            </w:r>
          </w:p>
        </w:tc>
        <w:tc>
          <w:tcPr>
            <w:tcW w:w="3707" w:type="dxa"/>
            <w:vAlign w:val="center"/>
          </w:tcPr>
          <w:p w14:paraId="09D90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镇域范围（禁设区域除外）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09E34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64A49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1B6B2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restart"/>
            <w:vAlign w:val="center"/>
          </w:tcPr>
          <w:p w14:paraId="337BE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东成镇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年可申请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个）</w:t>
            </w:r>
          </w:p>
        </w:tc>
        <w:tc>
          <w:tcPr>
            <w:tcW w:w="3707" w:type="dxa"/>
            <w:vAlign w:val="center"/>
          </w:tcPr>
          <w:p w14:paraId="6348A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横槎、顺槎、祝荷、塘洲、金坑、东新村委会辖区共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75FA3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61DD4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333C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continue"/>
            <w:vAlign w:val="center"/>
          </w:tcPr>
          <w:p w14:paraId="46269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00B6D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圩镇居委会、石路、四联村委会辖区共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34DDB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389" w:type="dxa"/>
            <w:vAlign w:val="center"/>
          </w:tcPr>
          <w:p w14:paraId="7A5A7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1F65B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continue"/>
            <w:vAlign w:val="center"/>
          </w:tcPr>
          <w:p w14:paraId="0013C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552C0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上绵湖、下绵湖、石岗、石桥头、牛皮塘、横岗头、鹿颈村委会辖区共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01531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003DC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4D439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restart"/>
            <w:vAlign w:val="center"/>
          </w:tcPr>
          <w:p w14:paraId="1680C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大田镇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年可申请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个）</w:t>
            </w:r>
          </w:p>
        </w:tc>
        <w:tc>
          <w:tcPr>
            <w:tcW w:w="3707" w:type="dxa"/>
            <w:vAlign w:val="center"/>
          </w:tcPr>
          <w:p w14:paraId="3C15E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朗底圩居委会、朗北、朗西、东南村委会辖区共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41C83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00CBF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44203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continue"/>
            <w:vAlign w:val="center"/>
          </w:tcPr>
          <w:p w14:paraId="3B117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72983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大田圩居委会、石山、华南、上南村委会辖区共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10CB6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389" w:type="dxa"/>
            <w:vAlign w:val="center"/>
          </w:tcPr>
          <w:p w14:paraId="02764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047B0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continue"/>
            <w:vAlign w:val="center"/>
          </w:tcPr>
          <w:p w14:paraId="1DE5D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2068E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黄沙、白石、北合、炉塘村委会辖区共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60216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7E3F9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77C56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restart"/>
            <w:vAlign w:val="center"/>
          </w:tcPr>
          <w:p w14:paraId="4B2AD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横陂镇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年可申请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个）</w:t>
            </w:r>
          </w:p>
        </w:tc>
        <w:tc>
          <w:tcPr>
            <w:tcW w:w="3707" w:type="dxa"/>
            <w:vAlign w:val="center"/>
          </w:tcPr>
          <w:p w14:paraId="6BB5F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洪滘圩居委会、塘莲、湾海、新潮、围边、蓝田、元山、大亨村委会辖区共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6A5C5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389" w:type="dxa"/>
            <w:vAlign w:val="center"/>
          </w:tcPr>
          <w:p w14:paraId="27B7E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6623F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continue"/>
            <w:vAlign w:val="center"/>
          </w:tcPr>
          <w:p w14:paraId="1C5BD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737FB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横陂圩居委会、虾山、白庙、白银、岐联、横东村委会辖区共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2630D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389" w:type="dxa"/>
            <w:vAlign w:val="center"/>
          </w:tcPr>
          <w:p w14:paraId="299CC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4139F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Merge w:val="continue"/>
            <w:vAlign w:val="center"/>
          </w:tcPr>
          <w:p w14:paraId="16166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707" w:type="dxa"/>
            <w:vAlign w:val="center"/>
          </w:tcPr>
          <w:p w14:paraId="5DCDF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横盘、横南、西联、横平、甘围、横西、南华村委会辖区共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57DA5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7B770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32EAA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Align w:val="center"/>
          </w:tcPr>
          <w:p w14:paraId="6CCF9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大槐镇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年可申请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个）</w:t>
            </w:r>
          </w:p>
        </w:tc>
        <w:tc>
          <w:tcPr>
            <w:tcW w:w="3707" w:type="dxa"/>
            <w:vAlign w:val="center"/>
          </w:tcPr>
          <w:p w14:paraId="2220A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镇域范围（禁设区域除外）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1E9AF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53A3C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4DF68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Align w:val="center"/>
          </w:tcPr>
          <w:p w14:paraId="2A5B0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那吉镇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年可申请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个）</w:t>
            </w:r>
          </w:p>
        </w:tc>
        <w:tc>
          <w:tcPr>
            <w:tcW w:w="3707" w:type="dxa"/>
            <w:vAlign w:val="center"/>
          </w:tcPr>
          <w:p w14:paraId="7428B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镇域范围（禁设区域除外）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共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家</w:t>
            </w:r>
          </w:p>
        </w:tc>
        <w:tc>
          <w:tcPr>
            <w:tcW w:w="2473" w:type="dxa"/>
            <w:vAlign w:val="center"/>
          </w:tcPr>
          <w:p w14:paraId="3F311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389" w:type="dxa"/>
            <w:vAlign w:val="center"/>
          </w:tcPr>
          <w:p w14:paraId="02215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539CC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vAlign w:val="center"/>
          </w:tcPr>
          <w:p w14:paraId="67D41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总计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年可申请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个）</w:t>
            </w:r>
          </w:p>
        </w:tc>
        <w:tc>
          <w:tcPr>
            <w:tcW w:w="3707" w:type="dxa"/>
            <w:vAlign w:val="center"/>
          </w:tcPr>
          <w:p w14:paraId="760D0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市域范围（禁设区域除外）</w:t>
            </w:r>
          </w:p>
        </w:tc>
        <w:tc>
          <w:tcPr>
            <w:tcW w:w="2473" w:type="dxa"/>
            <w:vAlign w:val="center"/>
          </w:tcPr>
          <w:p w14:paraId="36525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2389" w:type="dxa"/>
            <w:vAlign w:val="center"/>
          </w:tcPr>
          <w:p w14:paraId="587CE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3</w:t>
            </w:r>
          </w:p>
        </w:tc>
      </w:tr>
    </w:tbl>
    <w:p w14:paraId="2CCD5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2809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397B0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default" w:ascii="方正小标宋简体" w:hAnsi="宋体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恩平市各镇圩禁设烟花爆竹零售店（点）示意图</w:t>
      </w:r>
    </w:p>
    <w:p w14:paraId="3C08040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-120650</wp:posOffset>
            </wp:positionH>
            <wp:positionV relativeFrom="paragraph">
              <wp:posOffset>325755</wp:posOffset>
            </wp:positionV>
            <wp:extent cx="5859145" cy="4642485"/>
            <wp:effectExtent l="0" t="0" r="8255" b="5715"/>
            <wp:wrapNone/>
            <wp:docPr id="1" name="图片 1" descr="WXWorkLocal_177632819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XWorkLocal_17763281913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9145" cy="4642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ACEC6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E39EB0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642339A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6ABB95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C92AA4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57B0E8D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6ECF12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AA7101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2645B8D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1C59B9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4CF9B8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5DAD74E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2FA6BDA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921DF1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沙湖圩</w:t>
      </w:r>
    </w:p>
    <w:p w14:paraId="0A15EA6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64E6C00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7955201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B8A3CC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788281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7E7CD5F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B67BD3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40640</wp:posOffset>
            </wp:positionV>
            <wp:extent cx="5313045" cy="3620770"/>
            <wp:effectExtent l="0" t="0" r="1905" b="17780"/>
            <wp:wrapNone/>
            <wp:docPr id="6" name="图片 6" descr="clipbord_1770624218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lipbord_177062421876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3045" cy="3620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55F71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2EC45AB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306908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6E94A56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D02409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61FE6AA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594DD9C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3FA123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A353DE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637334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351790</wp:posOffset>
            </wp:positionV>
            <wp:extent cx="5314315" cy="3939540"/>
            <wp:effectExtent l="0" t="0" r="635" b="3810"/>
            <wp:wrapNone/>
            <wp:docPr id="15" name="图片 15" descr="56283215-e780-4bbc-af5f-983138340a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56283215-e780-4bbc-af5f-983138340ae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14315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牛江圩</w:t>
      </w:r>
    </w:p>
    <w:p w14:paraId="214B321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C983C1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6424D9B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5040990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10EE2D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671A677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B171E1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66B0216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49228C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85709F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7434BB9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2F26F8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君堂圩</w:t>
      </w:r>
    </w:p>
    <w:p w14:paraId="6C868D1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95250</wp:posOffset>
            </wp:positionV>
            <wp:extent cx="5640705" cy="3394075"/>
            <wp:effectExtent l="0" t="0" r="17145" b="15875"/>
            <wp:wrapNone/>
            <wp:docPr id="8" name="图片 8" descr="clipbord_1770623616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lipbord_17706236169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40705" cy="339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BE22D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9E96A8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2D5FE89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13717D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739D95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5C5734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251520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62AF39F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34A2374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3DA0E7F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圣堂圩</w:t>
      </w:r>
    </w:p>
    <w:p w14:paraId="2AD44D3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220980</wp:posOffset>
            </wp:positionV>
            <wp:extent cx="5641975" cy="3750310"/>
            <wp:effectExtent l="0" t="0" r="15875" b="2540"/>
            <wp:wrapNone/>
            <wp:docPr id="16" name="图片 16" descr="46e4c433-57d7-4d54-b028-8ba7c64acf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46e4c433-57d7-4d54-b028-8ba7c64acf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41975" cy="375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4C5D3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386B29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389A7D2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60CFEE7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DE9E8E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2C5A434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8C4B08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434A65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5DCCB05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67D7C8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0C149A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良西圩</w:t>
      </w:r>
    </w:p>
    <w:p w14:paraId="6EA57C1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29210</wp:posOffset>
            </wp:positionH>
            <wp:positionV relativeFrom="paragraph">
              <wp:posOffset>205105</wp:posOffset>
            </wp:positionV>
            <wp:extent cx="5535295" cy="5855970"/>
            <wp:effectExtent l="0" t="0" r="8255" b="11430"/>
            <wp:wrapNone/>
            <wp:docPr id="17" name="图片 17" descr="cd3af139-873b-4ddc-b739-ff6d840a4c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d3af139-873b-4ddc-b739-ff6d840a4c6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35295" cy="585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BA059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7DC5A10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2C5C0E7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3524FC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6252323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6EE803E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A426C4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68AB7E4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31F59B4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6032823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7F04DEE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725C950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F23D58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F51CC6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2229C40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74EB0F6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7E1583A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东成圩</w:t>
      </w:r>
    </w:p>
    <w:p w14:paraId="2F9A898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70B5F83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765102F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36119E2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796B53E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CDD3B8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343535</wp:posOffset>
            </wp:positionH>
            <wp:positionV relativeFrom="paragraph">
              <wp:posOffset>-57785</wp:posOffset>
            </wp:positionV>
            <wp:extent cx="4730115" cy="4248150"/>
            <wp:effectExtent l="0" t="0" r="13335" b="0"/>
            <wp:wrapNone/>
            <wp:docPr id="18" name="图片 18" descr="a23ee753-982b-4344-bd9a-62e96d777b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a23ee753-982b-4344-bd9a-62e96d777bc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3011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3B2DB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2A462D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6A3F0C7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EC6D4D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70E474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3E525BA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66BF7A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2B5B265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28FD6CB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87B226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3A08046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BC8133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大田圩</w:t>
      </w:r>
    </w:p>
    <w:p w14:paraId="1F78A31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440690</wp:posOffset>
            </wp:positionH>
            <wp:positionV relativeFrom="paragraph">
              <wp:posOffset>10160</wp:posOffset>
            </wp:positionV>
            <wp:extent cx="4745355" cy="3350260"/>
            <wp:effectExtent l="0" t="0" r="17145" b="2540"/>
            <wp:wrapNone/>
            <wp:docPr id="19" name="图片 19" descr="112c59a0-b43b-40c4-adad-f7cb8df08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12c59a0-b43b-40c4-adad-f7cb8df08aea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45355" cy="335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DF8B6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FFFFB3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645CDDF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25E96BA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2A7E783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752E52F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3E6281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09C80A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1FA9DB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朗底圩</w:t>
      </w:r>
    </w:p>
    <w:p w14:paraId="5D8C67F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170815</wp:posOffset>
            </wp:positionH>
            <wp:positionV relativeFrom="paragraph">
              <wp:posOffset>-182245</wp:posOffset>
            </wp:positionV>
            <wp:extent cx="5379720" cy="3137535"/>
            <wp:effectExtent l="0" t="0" r="11430" b="5715"/>
            <wp:wrapNone/>
            <wp:docPr id="11" name="图片 11" descr="clipbord_1770624853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lipbord_177062485309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7972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5A957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BAE6A4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7B5BD72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3D59C4D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333D15D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1E2E42C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5B1F6FF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076E39F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横陂圩</w:t>
      </w:r>
    </w:p>
    <w:p w14:paraId="40C5C36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475615</wp:posOffset>
            </wp:positionH>
            <wp:positionV relativeFrom="paragraph">
              <wp:posOffset>117475</wp:posOffset>
            </wp:positionV>
            <wp:extent cx="4723765" cy="4622800"/>
            <wp:effectExtent l="0" t="0" r="635" b="6350"/>
            <wp:wrapNone/>
            <wp:docPr id="21" name="图片 21" descr="8943f613-ef42-4123-bb30-acc1bcac5c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8943f613-ef42-4123-bb30-acc1bcac5c5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23765" cy="4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73F35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28C3454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6A6C983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104845A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456CA95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180547D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52856B8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4B2DC45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0BD140E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0EC169A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70E9D4E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770AD5A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51D7B59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大槐镇圩</w:t>
      </w:r>
    </w:p>
    <w:p w14:paraId="23DF380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715CC98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7A02A3E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365367D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1AC408E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70EBAEE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3AB9F27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126DADE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1983EE4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1510988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</w:p>
    <w:p w14:paraId="57A7604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-3563620</wp:posOffset>
            </wp:positionV>
            <wp:extent cx="5640070" cy="3834130"/>
            <wp:effectExtent l="0" t="0" r="17780" b="13970"/>
            <wp:wrapNone/>
            <wp:docPr id="13" name="图片 13" descr="clipbord_1770625087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lipbord_177062508759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40070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52827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那吉圩</w:t>
      </w:r>
    </w:p>
    <w:sectPr>
      <w:headerReference r:id="rId5" w:type="default"/>
      <w:footerReference r:id="rId6" w:type="default"/>
      <w:pgSz w:w="11906" w:h="16838"/>
      <w:pgMar w:top="1928" w:right="1418" w:bottom="1814" w:left="1588" w:header="1361" w:footer="1276" w:gutter="0"/>
      <w:pgNumType w:fmt="decimal" w:start="1"/>
      <w:cols w:space="0" w:num="1"/>
      <w:rtlGutter w:val="0"/>
      <w:docGrid w:type="linesAndChars" w:linePitch="592" w:charSpace="-43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1084F">
    <w:pPr>
      <w:pStyle w:val="16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E87A81">
                          <w:pPr>
                            <w:pStyle w:val="16"/>
                            <w:rPr>
                              <w:rStyle w:val="26"/>
                              <w:b/>
                              <w:color w:val="FFFFFF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26"/>
                              <w:rFonts w:hint="eastAsia"/>
                              <w:b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26"/>
                              <w:rFonts w:hint="eastAsia"/>
                              <w:b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26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26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26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26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Style w:val="26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26"/>
                              <w:rFonts w:hint="eastAsia"/>
                              <w:b/>
                              <w:sz w:val="28"/>
                              <w:szCs w:val="28"/>
                            </w:rPr>
                            <w:t xml:space="preserve"> —</w:t>
                          </w:r>
                          <w:r>
                            <w:rPr>
                              <w:rStyle w:val="26"/>
                              <w:rFonts w:hint="eastAsia"/>
                              <w:b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E87A81">
                    <w:pPr>
                      <w:pStyle w:val="16"/>
                      <w:rPr>
                        <w:rStyle w:val="26"/>
                        <w:b/>
                        <w:color w:val="FFFFFF"/>
                        <w:sz w:val="28"/>
                        <w:szCs w:val="28"/>
                      </w:rPr>
                    </w:pPr>
                    <w:r>
                      <w:rPr>
                        <w:rStyle w:val="26"/>
                        <w:rFonts w:hint="eastAsia"/>
                        <w:b/>
                        <w:color w:val="FFFFFF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26"/>
                        <w:rFonts w:hint="eastAsia"/>
                        <w:b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26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26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26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26"/>
                        <w:sz w:val="28"/>
                        <w:szCs w:val="28"/>
                      </w:rPr>
                      <w:t>8</w:t>
                    </w:r>
                    <w:r>
                      <w:rPr>
                        <w:rStyle w:val="26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26"/>
                        <w:rFonts w:hint="eastAsia"/>
                        <w:b/>
                        <w:sz w:val="28"/>
                        <w:szCs w:val="28"/>
                      </w:rPr>
                      <w:t xml:space="preserve"> —</w:t>
                    </w:r>
                    <w:r>
                      <w:rPr>
                        <w:rStyle w:val="26"/>
                        <w:rFonts w:hint="eastAsia"/>
                        <w:b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7E64D">
    <w:pPr>
      <w:pStyle w:val="1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HorizontalSpacing w:val="104"/>
  <w:drawingGridVerticalSpacing w:val="29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wZmFjNDdiMTc0MmU4NjI3NTQ4MTIyODg5ZjQ4ZjAifQ=="/>
  </w:docVars>
  <w:rsids>
    <w:rsidRoot w:val="0091471F"/>
    <w:rsid w:val="0000096C"/>
    <w:rsid w:val="000E01CE"/>
    <w:rsid w:val="000E0773"/>
    <w:rsid w:val="00170D74"/>
    <w:rsid w:val="00170FB6"/>
    <w:rsid w:val="001C4648"/>
    <w:rsid w:val="001D5415"/>
    <w:rsid w:val="00267224"/>
    <w:rsid w:val="003353C3"/>
    <w:rsid w:val="00362F65"/>
    <w:rsid w:val="003C6A28"/>
    <w:rsid w:val="003D2D13"/>
    <w:rsid w:val="003F0BCF"/>
    <w:rsid w:val="0042462F"/>
    <w:rsid w:val="004706F6"/>
    <w:rsid w:val="0048683A"/>
    <w:rsid w:val="004B2D36"/>
    <w:rsid w:val="004C5B40"/>
    <w:rsid w:val="004E4F8D"/>
    <w:rsid w:val="005D3068"/>
    <w:rsid w:val="005E46FD"/>
    <w:rsid w:val="00600E52"/>
    <w:rsid w:val="00641B32"/>
    <w:rsid w:val="00695772"/>
    <w:rsid w:val="006E17E2"/>
    <w:rsid w:val="006F2F06"/>
    <w:rsid w:val="006F5697"/>
    <w:rsid w:val="007000FF"/>
    <w:rsid w:val="0070097B"/>
    <w:rsid w:val="00777A9A"/>
    <w:rsid w:val="00785C13"/>
    <w:rsid w:val="007A31FC"/>
    <w:rsid w:val="007C19A7"/>
    <w:rsid w:val="007C44C3"/>
    <w:rsid w:val="007E0BA9"/>
    <w:rsid w:val="00843122"/>
    <w:rsid w:val="008D0B86"/>
    <w:rsid w:val="008D79DA"/>
    <w:rsid w:val="0091471F"/>
    <w:rsid w:val="0095034A"/>
    <w:rsid w:val="00953C7A"/>
    <w:rsid w:val="009D0951"/>
    <w:rsid w:val="00A237C2"/>
    <w:rsid w:val="00AA4485"/>
    <w:rsid w:val="00B617D8"/>
    <w:rsid w:val="00BC4064"/>
    <w:rsid w:val="00BE6E77"/>
    <w:rsid w:val="00C11777"/>
    <w:rsid w:val="00C31D77"/>
    <w:rsid w:val="00C449D5"/>
    <w:rsid w:val="00C904ED"/>
    <w:rsid w:val="00CA0488"/>
    <w:rsid w:val="00CA0871"/>
    <w:rsid w:val="00CE063E"/>
    <w:rsid w:val="00DC1DBC"/>
    <w:rsid w:val="00DE5A1A"/>
    <w:rsid w:val="00E32516"/>
    <w:rsid w:val="00EC40D2"/>
    <w:rsid w:val="00EC73DC"/>
    <w:rsid w:val="00F2395D"/>
    <w:rsid w:val="00F64E75"/>
    <w:rsid w:val="00F7597A"/>
    <w:rsid w:val="00F873D7"/>
    <w:rsid w:val="00FC218F"/>
    <w:rsid w:val="05D55F1F"/>
    <w:rsid w:val="064222D0"/>
    <w:rsid w:val="07FB36A6"/>
    <w:rsid w:val="0B375E4F"/>
    <w:rsid w:val="0B7B44EC"/>
    <w:rsid w:val="0CF93077"/>
    <w:rsid w:val="0D5A2878"/>
    <w:rsid w:val="0E8763AA"/>
    <w:rsid w:val="0F6639D3"/>
    <w:rsid w:val="0F8D2AD6"/>
    <w:rsid w:val="0FCA7ED1"/>
    <w:rsid w:val="10AB142F"/>
    <w:rsid w:val="10BD6382"/>
    <w:rsid w:val="10DE233C"/>
    <w:rsid w:val="13BE5AE6"/>
    <w:rsid w:val="14C924E0"/>
    <w:rsid w:val="16321C77"/>
    <w:rsid w:val="168057FD"/>
    <w:rsid w:val="16B335E3"/>
    <w:rsid w:val="1B9302E5"/>
    <w:rsid w:val="1BBD091F"/>
    <w:rsid w:val="1CD7383A"/>
    <w:rsid w:val="1D0C28B4"/>
    <w:rsid w:val="1E5A6CDF"/>
    <w:rsid w:val="1EB33EEA"/>
    <w:rsid w:val="214C62A1"/>
    <w:rsid w:val="225443E0"/>
    <w:rsid w:val="235A4C09"/>
    <w:rsid w:val="25A83F09"/>
    <w:rsid w:val="268E60F7"/>
    <w:rsid w:val="280753DC"/>
    <w:rsid w:val="287570EE"/>
    <w:rsid w:val="28786C24"/>
    <w:rsid w:val="2A25395C"/>
    <w:rsid w:val="2B520548"/>
    <w:rsid w:val="2D221CC2"/>
    <w:rsid w:val="2FCF47FC"/>
    <w:rsid w:val="30BD3260"/>
    <w:rsid w:val="318601E4"/>
    <w:rsid w:val="31F74931"/>
    <w:rsid w:val="32001619"/>
    <w:rsid w:val="32546D64"/>
    <w:rsid w:val="33B64277"/>
    <w:rsid w:val="344127F9"/>
    <w:rsid w:val="34EA62E6"/>
    <w:rsid w:val="369F70A9"/>
    <w:rsid w:val="377F2AD5"/>
    <w:rsid w:val="378B18EA"/>
    <w:rsid w:val="39A87194"/>
    <w:rsid w:val="3A026FF3"/>
    <w:rsid w:val="3A615328"/>
    <w:rsid w:val="3AF5504C"/>
    <w:rsid w:val="3C12749A"/>
    <w:rsid w:val="3CC2183C"/>
    <w:rsid w:val="3D843BB0"/>
    <w:rsid w:val="3EE22E63"/>
    <w:rsid w:val="3F301756"/>
    <w:rsid w:val="3FAA7F0D"/>
    <w:rsid w:val="40FF07E3"/>
    <w:rsid w:val="41C362F6"/>
    <w:rsid w:val="42A37C2D"/>
    <w:rsid w:val="43D45F57"/>
    <w:rsid w:val="43D84376"/>
    <w:rsid w:val="465F4215"/>
    <w:rsid w:val="490F3073"/>
    <w:rsid w:val="4977387B"/>
    <w:rsid w:val="4B3E6C85"/>
    <w:rsid w:val="4CC72AFC"/>
    <w:rsid w:val="4CD07524"/>
    <w:rsid w:val="4E1935FF"/>
    <w:rsid w:val="4F630A24"/>
    <w:rsid w:val="50514152"/>
    <w:rsid w:val="50C74AFB"/>
    <w:rsid w:val="51081A4A"/>
    <w:rsid w:val="51954DCC"/>
    <w:rsid w:val="530A434B"/>
    <w:rsid w:val="53A33245"/>
    <w:rsid w:val="54297BF9"/>
    <w:rsid w:val="546630E1"/>
    <w:rsid w:val="55882160"/>
    <w:rsid w:val="56CD6F74"/>
    <w:rsid w:val="59260117"/>
    <w:rsid w:val="5BFF66CC"/>
    <w:rsid w:val="5CF933B4"/>
    <w:rsid w:val="5D210677"/>
    <w:rsid w:val="5D3121C7"/>
    <w:rsid w:val="5E26750F"/>
    <w:rsid w:val="5E2A561C"/>
    <w:rsid w:val="5ED549F0"/>
    <w:rsid w:val="605B5CCE"/>
    <w:rsid w:val="605E31AF"/>
    <w:rsid w:val="60CB21A4"/>
    <w:rsid w:val="62BC725B"/>
    <w:rsid w:val="63B0179C"/>
    <w:rsid w:val="641B7D10"/>
    <w:rsid w:val="6457430E"/>
    <w:rsid w:val="64E57365"/>
    <w:rsid w:val="67111E16"/>
    <w:rsid w:val="677448D9"/>
    <w:rsid w:val="67832650"/>
    <w:rsid w:val="68527E9B"/>
    <w:rsid w:val="686851DE"/>
    <w:rsid w:val="6A6E2E5A"/>
    <w:rsid w:val="6AF503DD"/>
    <w:rsid w:val="6C2710D0"/>
    <w:rsid w:val="6CBB0CD0"/>
    <w:rsid w:val="6CD7757E"/>
    <w:rsid w:val="6E2A7E6E"/>
    <w:rsid w:val="6F6B2A74"/>
    <w:rsid w:val="70807521"/>
    <w:rsid w:val="71010D74"/>
    <w:rsid w:val="71D400BF"/>
    <w:rsid w:val="736921D6"/>
    <w:rsid w:val="750E434A"/>
    <w:rsid w:val="766C04D6"/>
    <w:rsid w:val="77067D67"/>
    <w:rsid w:val="798058E5"/>
    <w:rsid w:val="7A861953"/>
    <w:rsid w:val="7ADC59C4"/>
    <w:rsid w:val="7C2B4268"/>
    <w:rsid w:val="7F5E000E"/>
    <w:rsid w:val="7F7B6EB5"/>
    <w:rsid w:val="7FFC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9"/>
    <w:qFormat/>
    <w:uiPriority w:val="9"/>
    <w:pPr>
      <w:keepNext/>
      <w:keepLines/>
      <w:widowControl/>
      <w:spacing w:before="480" w:line="276" w:lineRule="auto"/>
      <w:jc w:val="left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kern w:val="0"/>
      <w:sz w:val="28"/>
      <w:szCs w:val="28"/>
      <w:lang w:eastAsia="en-US" w:bidi="en-US"/>
    </w:rPr>
  </w:style>
  <w:style w:type="paragraph" w:styleId="4">
    <w:name w:val="heading 2"/>
    <w:basedOn w:val="1"/>
    <w:next w:val="1"/>
    <w:link w:val="30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1"/>
    </w:pPr>
    <w:rPr>
      <w:rFonts w:asciiTheme="majorHAnsi" w:hAnsiTheme="majorHAnsi" w:eastAsiaTheme="majorEastAsia" w:cstheme="majorBidi"/>
      <w:b/>
      <w:bCs/>
      <w:color w:val="4F81BD" w:themeColor="accent1"/>
      <w:kern w:val="0"/>
      <w:sz w:val="26"/>
      <w:szCs w:val="26"/>
      <w:lang w:eastAsia="en-US" w:bidi="en-US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31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2"/>
    </w:pPr>
    <w:rPr>
      <w:rFonts w:asciiTheme="majorHAnsi" w:hAnsiTheme="majorHAnsi" w:eastAsiaTheme="majorEastAsia" w:cstheme="majorBidi"/>
      <w:b/>
      <w:bCs/>
      <w:color w:val="4F81BD" w:themeColor="accent1"/>
      <w:kern w:val="0"/>
      <w:sz w:val="22"/>
      <w:szCs w:val="22"/>
      <w:lang w:eastAsia="en-US" w:bidi="en-US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32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:kern w:val="0"/>
      <w:sz w:val="22"/>
      <w:szCs w:val="22"/>
      <w:lang w:eastAsia="en-US" w:bidi="en-US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33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4"/>
    </w:pPr>
    <w:rPr>
      <w:rFonts w:asciiTheme="majorHAnsi" w:hAnsiTheme="majorHAnsi" w:eastAsiaTheme="majorEastAsia" w:cstheme="majorBidi"/>
      <w:color w:val="254061" w:themeColor="accent1" w:themeShade="80"/>
      <w:kern w:val="0"/>
      <w:sz w:val="22"/>
      <w:szCs w:val="22"/>
      <w:lang w:eastAsia="en-US" w:bidi="en-US"/>
    </w:rPr>
  </w:style>
  <w:style w:type="paragraph" w:styleId="8">
    <w:name w:val="heading 6"/>
    <w:basedOn w:val="1"/>
    <w:next w:val="1"/>
    <w:link w:val="34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  <w:kern w:val="0"/>
      <w:sz w:val="22"/>
      <w:szCs w:val="22"/>
      <w:lang w:eastAsia="en-US" w:bidi="en-US"/>
    </w:rPr>
  </w:style>
  <w:style w:type="paragraph" w:styleId="9">
    <w:name w:val="heading 7"/>
    <w:basedOn w:val="1"/>
    <w:next w:val="1"/>
    <w:link w:val="35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kern w:val="0"/>
      <w:sz w:val="22"/>
      <w:szCs w:val="22"/>
      <w:lang w:eastAsia="en-US" w:bidi="en-U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36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7"/>
    </w:pPr>
    <w:rPr>
      <w:rFonts w:asciiTheme="majorHAnsi" w:hAnsiTheme="majorHAnsi" w:eastAsiaTheme="majorEastAsia" w:cstheme="majorBidi"/>
      <w:color w:val="4F81BD" w:themeColor="accent1"/>
      <w:kern w:val="0"/>
      <w:sz w:val="20"/>
      <w:szCs w:val="20"/>
      <w:lang w:eastAsia="en-US" w:bidi="en-US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37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kern w:val="0"/>
      <w:sz w:val="20"/>
      <w:szCs w:val="20"/>
      <w:lang w:eastAsia="en-US" w:bidi="en-U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24">
    <w:name w:val="Default Paragraph Font"/>
    <w:autoRedefine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500" w:lineRule="exact"/>
      <w:ind w:right="8" w:rightChars="8" w:firstLine="640"/>
    </w:pPr>
    <w:rPr>
      <w:rFonts w:ascii="楷体_GB2312" w:eastAsia="楷体_GB2312"/>
      <w:szCs w:val="32"/>
    </w:rPr>
  </w:style>
  <w:style w:type="paragraph" w:styleId="12">
    <w:name w:val="caption"/>
    <w:basedOn w:val="1"/>
    <w:next w:val="1"/>
    <w:semiHidden/>
    <w:unhideWhenUsed/>
    <w:qFormat/>
    <w:uiPriority w:val="35"/>
    <w:pPr>
      <w:widowControl/>
      <w:spacing w:after="200"/>
      <w:jc w:val="left"/>
    </w:pPr>
    <w:rPr>
      <w:rFonts w:asciiTheme="minorHAnsi" w:hAnsiTheme="minorHAnsi" w:eastAsiaTheme="minorEastAsia" w:cstheme="minorBidi"/>
      <w:b/>
      <w:bCs/>
      <w:color w:val="4F81BD" w:themeColor="accent1"/>
      <w:kern w:val="0"/>
      <w:sz w:val="18"/>
      <w:szCs w:val="18"/>
      <w:lang w:eastAsia="en-US" w:bidi="en-US"/>
      <w14:textFill>
        <w14:solidFill>
          <w14:schemeClr w14:val="accent1"/>
        </w14:solidFill>
      </w14:textFill>
    </w:rPr>
  </w:style>
  <w:style w:type="paragraph" w:styleId="13">
    <w:name w:val="Body Text"/>
    <w:basedOn w:val="1"/>
    <w:semiHidden/>
    <w:qFormat/>
    <w:uiPriority w:val="0"/>
    <w:rPr>
      <w:rFonts w:ascii="Arial" w:hAnsi="Arial" w:eastAsia="Arial" w:cs="Arial"/>
      <w:sz w:val="26"/>
      <w:szCs w:val="26"/>
      <w:lang w:val="en-US" w:eastAsia="en-US" w:bidi="ar-SA"/>
    </w:rPr>
  </w:style>
  <w:style w:type="paragraph" w:styleId="14">
    <w:name w:val="Plain Text"/>
    <w:basedOn w:val="1"/>
    <w:unhideWhenUsed/>
    <w:qFormat/>
    <w:uiPriority w:val="0"/>
    <w:rPr>
      <w:rFonts w:ascii="宋体" w:hAnsi="Courier New" w:eastAsia="宋体" w:cs="Courier New"/>
      <w:sz w:val="21"/>
      <w:szCs w:val="21"/>
    </w:rPr>
  </w:style>
  <w:style w:type="paragraph" w:styleId="15">
    <w:name w:val="Date"/>
    <w:basedOn w:val="1"/>
    <w:next w:val="1"/>
    <w:link w:val="53"/>
    <w:qFormat/>
    <w:uiPriority w:val="0"/>
    <w:pPr>
      <w:ind w:left="100" w:leftChars="2500"/>
    </w:pPr>
  </w:style>
  <w:style w:type="paragraph" w:styleId="16">
    <w:name w:val="footer"/>
    <w:basedOn w:val="1"/>
    <w:link w:val="28"/>
    <w:qFormat/>
    <w:uiPriority w:val="99"/>
    <w:pPr>
      <w:widowControl/>
      <w:tabs>
        <w:tab w:val="center" w:pos="4153"/>
        <w:tab w:val="right" w:pos="8306"/>
      </w:tabs>
      <w:snapToGrid w:val="0"/>
      <w:spacing w:after="200" w:line="276" w:lineRule="auto"/>
      <w:jc w:val="left"/>
    </w:pPr>
    <w:rPr>
      <w:rFonts w:asciiTheme="minorHAnsi" w:hAnsiTheme="minorHAnsi" w:eastAsiaTheme="minorEastAsia" w:cstheme="minorBidi"/>
      <w:kern w:val="0"/>
      <w:sz w:val="18"/>
      <w:szCs w:val="18"/>
      <w:lang w:eastAsia="en-US" w:bidi="en-US"/>
    </w:rPr>
  </w:style>
  <w:style w:type="paragraph" w:styleId="17">
    <w:name w:val="header"/>
    <w:basedOn w:val="1"/>
    <w:qFormat/>
    <w:uiPriority w:val="0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200" w:line="276" w:lineRule="auto"/>
      <w:jc w:val="center"/>
    </w:pPr>
    <w:rPr>
      <w:rFonts w:asciiTheme="minorHAnsi" w:hAnsiTheme="minorHAnsi" w:eastAsiaTheme="minorEastAsia" w:cstheme="minorBidi"/>
      <w:kern w:val="0"/>
      <w:sz w:val="18"/>
      <w:szCs w:val="18"/>
      <w:lang w:eastAsia="en-US" w:bidi="en-US"/>
    </w:rPr>
  </w:style>
  <w:style w:type="paragraph" w:styleId="18">
    <w:name w:val="Subtitle"/>
    <w:basedOn w:val="1"/>
    <w:next w:val="1"/>
    <w:link w:val="39"/>
    <w:qFormat/>
    <w:uiPriority w:val="11"/>
    <w:pPr>
      <w:widowControl/>
      <w:spacing w:after="200" w:line="276" w:lineRule="auto"/>
      <w:jc w:val="left"/>
    </w:pPr>
    <w:rPr>
      <w:rFonts w:asciiTheme="majorHAnsi" w:hAnsiTheme="majorHAnsi" w:eastAsiaTheme="majorEastAsia" w:cstheme="majorBidi"/>
      <w:i/>
      <w:iCs/>
      <w:color w:val="4F81BD" w:themeColor="accent1"/>
      <w:spacing w:val="15"/>
      <w:kern w:val="0"/>
      <w:sz w:val="24"/>
      <w:lang w:eastAsia="en-US" w:bidi="en-US"/>
      <w14:textFill>
        <w14:solidFill>
          <w14:schemeClr w14:val="accent1"/>
        </w14:solidFill>
      </w14:textFill>
    </w:rPr>
  </w:style>
  <w:style w:type="paragraph" w:styleId="1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0">
    <w:name w:val="Title"/>
    <w:basedOn w:val="1"/>
    <w:next w:val="1"/>
    <w:link w:val="38"/>
    <w:qFormat/>
    <w:uiPriority w:val="10"/>
    <w:pPr>
      <w:widowControl/>
      <w:pBdr>
        <w:bottom w:val="single" w:color="4F81BD" w:themeColor="accent1" w:sz="8" w:space="4"/>
      </w:pBdr>
      <w:spacing w:after="300"/>
      <w:contextualSpacing/>
      <w:jc w:val="left"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  <w:lang w:eastAsia="en-US" w:bidi="en-US"/>
    </w:rPr>
  </w:style>
  <w:style w:type="paragraph" w:styleId="21">
    <w:name w:val="Body Text First Indent 2"/>
    <w:basedOn w:val="13"/>
    <w:next w:val="1"/>
    <w:qFormat/>
    <w:uiPriority w:val="0"/>
    <w:pPr>
      <w:ind w:firstLine="420" w:firstLineChars="200"/>
      <w:jc w:val="left"/>
    </w:pPr>
    <w:rPr>
      <w:rFonts w:ascii="方正仿宋_GBK" w:hAnsi="方正仿宋_GBK" w:eastAsia="方正仿宋_GBK" w:cs="Times New Roman"/>
      <w:bCs/>
      <w:sz w:val="32"/>
    </w:rPr>
  </w:style>
  <w:style w:type="table" w:styleId="23">
    <w:name w:val="Table Grid"/>
    <w:basedOn w:val="22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5">
    <w:name w:val="Strong"/>
    <w:basedOn w:val="24"/>
    <w:qFormat/>
    <w:uiPriority w:val="22"/>
    <w:rPr>
      <w:b/>
      <w:bCs/>
    </w:rPr>
  </w:style>
  <w:style w:type="character" w:styleId="26">
    <w:name w:val="page number"/>
    <w:basedOn w:val="24"/>
    <w:qFormat/>
    <w:uiPriority w:val="0"/>
  </w:style>
  <w:style w:type="character" w:styleId="27">
    <w:name w:val="Emphasis"/>
    <w:basedOn w:val="24"/>
    <w:qFormat/>
    <w:uiPriority w:val="20"/>
    <w:rPr>
      <w:i/>
      <w:iCs/>
    </w:rPr>
  </w:style>
  <w:style w:type="character" w:customStyle="1" w:styleId="28">
    <w:name w:val="页脚 Char"/>
    <w:basedOn w:val="24"/>
    <w:link w:val="16"/>
    <w:qFormat/>
    <w:uiPriority w:val="99"/>
    <w:rPr>
      <w:rFonts w:eastAsia="仿宋_GB2312"/>
      <w:kern w:val="2"/>
      <w:sz w:val="18"/>
      <w:szCs w:val="18"/>
    </w:rPr>
  </w:style>
  <w:style w:type="character" w:customStyle="1" w:styleId="29">
    <w:name w:val="标题 1 Char"/>
    <w:basedOn w:val="2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30">
    <w:name w:val="标题 2 Char"/>
    <w:basedOn w:val="24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31">
    <w:name w:val="标题 3 Char"/>
    <w:basedOn w:val="2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32">
    <w:name w:val="标题 4 Char"/>
    <w:basedOn w:val="24"/>
    <w:link w:val="6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33">
    <w:name w:val="标题 5 Char"/>
    <w:basedOn w:val="24"/>
    <w:link w:val="7"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4">
    <w:name w:val="标题 6 Char"/>
    <w:basedOn w:val="24"/>
    <w:link w:val="8"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35">
    <w:name w:val="标题 7 Char"/>
    <w:basedOn w:val="24"/>
    <w:link w:val="9"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标题 8 Char"/>
    <w:basedOn w:val="24"/>
    <w:link w:val="10"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37">
    <w:name w:val="标题 9 Char"/>
    <w:basedOn w:val="24"/>
    <w:link w:val="11"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8">
    <w:name w:val="标题 Char"/>
    <w:basedOn w:val="24"/>
    <w:link w:val="20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39">
    <w:name w:val="副标题 Char"/>
    <w:basedOn w:val="24"/>
    <w:link w:val="1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en-US"/>
    </w:rPr>
  </w:style>
  <w:style w:type="paragraph" w:styleId="41">
    <w:name w:val="List Paragraph"/>
    <w:basedOn w:val="1"/>
    <w:qFormat/>
    <w:uiPriority w:val="34"/>
    <w:pPr>
      <w:widowControl/>
      <w:spacing w:after="200" w:line="276" w:lineRule="auto"/>
      <w:ind w:left="720"/>
      <w:contextualSpacing/>
      <w:jc w:val="left"/>
    </w:pPr>
    <w:rPr>
      <w:rFonts w:asciiTheme="minorHAnsi" w:hAnsiTheme="minorHAnsi" w:eastAsiaTheme="minorEastAsia" w:cstheme="minorBidi"/>
      <w:kern w:val="0"/>
      <w:sz w:val="22"/>
      <w:szCs w:val="22"/>
      <w:lang w:eastAsia="en-US" w:bidi="en-US"/>
    </w:rPr>
  </w:style>
  <w:style w:type="paragraph" w:styleId="42">
    <w:name w:val="Quote"/>
    <w:basedOn w:val="1"/>
    <w:next w:val="1"/>
    <w:link w:val="43"/>
    <w:qFormat/>
    <w:uiPriority w:val="29"/>
    <w:pPr>
      <w:widowControl/>
      <w:spacing w:after="200" w:line="276" w:lineRule="auto"/>
      <w:jc w:val="left"/>
    </w:pPr>
    <w:rPr>
      <w:rFonts w:asciiTheme="minorHAnsi" w:hAnsiTheme="minorHAnsi" w:eastAsiaTheme="minorEastAsia" w:cstheme="minorBidi"/>
      <w:i/>
      <w:iCs/>
      <w:color w:val="000000" w:themeColor="text1"/>
      <w:kern w:val="0"/>
      <w:sz w:val="22"/>
      <w:szCs w:val="22"/>
      <w:lang w:eastAsia="en-US" w:bidi="en-US"/>
      <w14:textFill>
        <w14:solidFill>
          <w14:schemeClr w14:val="tx1"/>
        </w14:solidFill>
      </w14:textFill>
    </w:rPr>
  </w:style>
  <w:style w:type="character" w:customStyle="1" w:styleId="43">
    <w:name w:val="引用 Char"/>
    <w:basedOn w:val="24"/>
    <w:link w:val="4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44">
    <w:name w:val="Intense Quote"/>
    <w:basedOn w:val="1"/>
    <w:next w:val="1"/>
    <w:link w:val="45"/>
    <w:qFormat/>
    <w:uiPriority w:val="30"/>
    <w:pPr>
      <w:widowControl/>
      <w:pBdr>
        <w:bottom w:val="single" w:color="4F81BD" w:themeColor="accent1" w:sz="4" w:space="4"/>
      </w:pBdr>
      <w:spacing w:before="200" w:after="280" w:line="276" w:lineRule="auto"/>
      <w:ind w:left="936" w:right="936"/>
      <w:jc w:val="left"/>
    </w:pPr>
    <w:rPr>
      <w:rFonts w:asciiTheme="minorHAnsi" w:hAnsiTheme="minorHAnsi" w:eastAsiaTheme="minorEastAsia" w:cstheme="minorBidi"/>
      <w:b/>
      <w:bCs/>
      <w:i/>
      <w:iCs/>
      <w:color w:val="4F81BD" w:themeColor="accent1"/>
      <w:kern w:val="0"/>
      <w:sz w:val="22"/>
      <w:szCs w:val="22"/>
      <w:lang w:eastAsia="en-US" w:bidi="en-US"/>
      <w14:textFill>
        <w14:solidFill>
          <w14:schemeClr w14:val="accent1"/>
        </w14:solidFill>
      </w14:textFill>
    </w:rPr>
  </w:style>
  <w:style w:type="character" w:customStyle="1" w:styleId="45">
    <w:name w:val="明显引用 Char"/>
    <w:basedOn w:val="24"/>
    <w:link w:val="44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6">
    <w:name w:val="Subtle Emphasis"/>
    <w:basedOn w:val="2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7">
    <w:name w:val="Intense Emphasis"/>
    <w:basedOn w:val="2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8">
    <w:name w:val="Subtle Reference"/>
    <w:basedOn w:val="2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49">
    <w:name w:val="Intense Reference"/>
    <w:basedOn w:val="2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50">
    <w:name w:val="Book Title"/>
    <w:basedOn w:val="24"/>
    <w:qFormat/>
    <w:uiPriority w:val="33"/>
    <w:rPr>
      <w:b/>
      <w:bCs/>
      <w:smallCaps/>
      <w:spacing w:val="5"/>
    </w:rPr>
  </w:style>
  <w:style w:type="paragraph" w:customStyle="1" w:styleId="51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52">
    <w:name w:val="p0"/>
    <w:basedOn w:val="1"/>
    <w:qFormat/>
    <w:uiPriority w:val="0"/>
    <w:pPr>
      <w:widowControl/>
    </w:pPr>
    <w:rPr>
      <w:rFonts w:hint="eastAsia"/>
    </w:rPr>
  </w:style>
  <w:style w:type="character" w:customStyle="1" w:styleId="53">
    <w:name w:val="日期 Char"/>
    <w:basedOn w:val="24"/>
    <w:link w:val="15"/>
    <w:qFormat/>
    <w:uiPriority w:val="0"/>
    <w:rPr>
      <w:rFonts w:ascii="Times New Roman" w:hAnsi="Times New Roman" w:eastAsia="宋体" w:cs="Times New Roman"/>
      <w:kern w:val="2"/>
      <w:sz w:val="21"/>
      <w:szCs w:val="24"/>
      <w:lang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20</Pages>
  <Words>4328</Words>
  <Characters>4492</Characters>
  <Lines>20</Lines>
  <Paragraphs>5</Paragraphs>
  <TotalTime>27</TotalTime>
  <ScaleCrop>false</ScaleCrop>
  <LinksUpToDate>false</LinksUpToDate>
  <CharactersWithSpaces>4725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2020-06-22T02:06:00Z</dcterms:created>
  <dc:creator>Microsoft</dc:creator>
  <cp:lastModifiedBy>风云再起</cp:lastModifiedBy>
  <cp:lastPrinted>2026-04-02T02:22:00Z</cp:lastPrinted>
  <dcterms:modified xsi:type="dcterms:W3CDTF">2026-08-31T07:22:33Z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33987F5B65B64FEAA177D30B3C5B1822_13</vt:lpwstr>
  </property>
  <property fmtid="{D5CDD505-2E9C-101B-9397-08002B2CF9AE}" pid="4" name="KSOTemplateDocerSaveRecord">
    <vt:lpwstr>eyJoZGlkIjoiYTY3N2I3YjMyZjQ4NGE4ZTMwYzk5NmFjODVjOWNiM2YiLCJ1c2VySWQiOiI2NTQyNzQ4NjkifQ==</vt:lpwstr>
  </property>
</Properties>
</file>