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85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944"/>
        <w:gridCol w:w="4525"/>
        <w:gridCol w:w="2454"/>
      </w:tblGrid>
      <w:tr w14:paraId="72887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tblHeader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A6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A2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5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B3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需求参数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2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需求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数量</w:t>
            </w:r>
          </w:p>
        </w:tc>
      </w:tr>
      <w:tr w14:paraId="509AD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5" w:hRule="atLeast"/>
        </w:trPr>
        <w:tc>
          <w:tcPr>
            <w:tcW w:w="6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8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42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橡皮艇</w:t>
            </w:r>
          </w:p>
        </w:tc>
        <w:tc>
          <w:tcPr>
            <w:tcW w:w="4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F7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lang w:val="en-US" w:eastAsia="zh-CN" w:bidi="ar"/>
              </w:rPr>
              <w:t>1、外长≥430cm，外宽≥190cm，型深≥48cm，型宽≥91cm，最大载重≥900kg。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2、气囊数≥4个，气囊直径≥49cm，翘首高度≥70cm，承载人数≥10人。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3、艇底结构：船底深V型设计，水阻小。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4、艇身材质≥0.9mmPVC复合加网材质。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5、底板材质：铝合金拼装底板。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6、耐压性：气筒充气55kPa静放15min后，无异常；龙骨充气65kPa静放15min后，无异常。提供具有CMA或CNAS认证资质的检测机构出具的检测报告。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7、气密性：气筒充气55kPa静放130min后，剩余压力55kPa；龙骨充气65kPa静放130min后，剩余压力65kPa。提供具有CMA或CNAS认证资质的检测机构出具的检测报告。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8、回转直径：载重75kg航速11km/h时，左转≤3.0m，右转≤3.8m。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9、经向拉伸强度≥110kN/m，纬向拉伸强度≥100kN/m，经向梯形撕裂强度≥700N，纬向撕裂强度≥700N；粘合强度拉力≥6.6kN/m。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10、依据GB/T16422.3-2022对原材料进行UV灯照射不低于24h，结果无褪色、无变形。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11、原材料在72℃环境内存放24h后试样外观完好；原材料在-50℃环境内存放，24h后试样外观完好。提供具有CMA或CNAS认证资质的检测机构出具的检测报告。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12、依据CPSC-CH-C1001-09.3邻苯4项有毒物质检测，DBP、BBP、DEHP、DNOP均低于0.005%。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13、灯具材质：铝合金及V0级防火塑料机身；</w:t>
            </w:r>
            <w:r>
              <w:rPr>
                <w:rStyle w:val="12"/>
                <w:lang w:val="en-US" w:eastAsia="zh-CN" w:bidi="ar"/>
              </w:rPr>
              <w:t>整机尺寸（长×宽×高）≥80x170x180mm；</w:t>
            </w:r>
            <w:r>
              <w:rPr>
                <w:rStyle w:val="11"/>
                <w:lang w:val="en-US" w:eastAsia="zh-CN" w:bidi="ar"/>
              </w:rPr>
              <w:t>重量：≥600g；聚光高亮≥2800LM，侧面工作灯：高亮≥450LM，工作时间：聚光灯最高3000lm档位不少2h，100lm档位工作不少于20h；整灯可漂浮在水面上，防护等级：IP68（可以在2米水深中浸泡90min的情况下仍可正常工作）；灯具透明件及外壳分别经受质量1Kg的标准冲击锤从1.2m高度自由落体冲击试验，冲击次数5次，试验结束后，试验部位不应发生破损现象。提供具有CMA或CNAS认证资质的检测机构出具的检测报告。</w:t>
            </w:r>
          </w:p>
        </w:tc>
        <w:tc>
          <w:tcPr>
            <w:tcW w:w="24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71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2艘</w:t>
            </w:r>
          </w:p>
        </w:tc>
      </w:tr>
      <w:tr w14:paraId="13609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4" w:hRule="atLeast"/>
        </w:trPr>
        <w:tc>
          <w:tcPr>
            <w:tcW w:w="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87E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404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8541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5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8FA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3B3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5" w:hRule="atLeast"/>
        </w:trPr>
        <w:tc>
          <w:tcPr>
            <w:tcW w:w="6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99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7E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越野消防摩托车</w:t>
            </w:r>
          </w:p>
        </w:tc>
        <w:tc>
          <w:tcPr>
            <w:tcW w:w="45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F3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1、驱动方式：电驱动。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2、整车尺寸：≤1960*850*1200mm。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3、电池类型：三元锂电池。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4、车重：≤95kg(含电池）。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5、最大功率≥20KW。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6、续航里程≥100km。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7、最高车速≥100km/h。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8、车架：相当于或优于航空铝合金材质。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9、符合国家相关要求，需提供CCC认证证书或证书查询截图。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10、配备警示装置：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10.1具备光敏感应功能，黑暗环境自动发光，夜间可视距离≥800m，满电工作≥96小时；防水≥IP65；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10.2支持双向充电，输入可外接电源、太阳光，输出Type-C接口，可反向供电给小型设备；提供具有CMA或CNAS认证资质的检测机构出具的检测报告。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10.3具备远程定位、一键SOS报警，报警信息推送至微信公众号、WEB界面，小程序可支持导航，提供具有CMA或CNAS认证资质的检测机构出具的检测报告。</w:t>
            </w:r>
          </w:p>
        </w:tc>
        <w:tc>
          <w:tcPr>
            <w:tcW w:w="245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47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1台</w:t>
            </w:r>
          </w:p>
        </w:tc>
      </w:tr>
      <w:tr w14:paraId="781CA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3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1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AE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应急背囊</w:t>
            </w:r>
          </w:p>
        </w:tc>
        <w:tc>
          <w:tcPr>
            <w:tcW w:w="4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4CF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应急背囊，含单人帐篷，睡袋，折叠工兵铲，帐篷照明灯，报警哨等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1、背包：符合QB/T 1333-2018《背提包》标准要求，900D牛津布材质，尺寸≥65*35*20cm，容积≥60L。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1.1、缝合强度≥864N；断裂强力：经向≥3100N，纬向≥2800N;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撕破强力：经向≥134N，纬向≥116N。提供具有CMA或CNAS认证资质的检测机构出具的检测报告。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2、单人帐篷：尺寸≥200*100*100cm，重量≥2.0kg ，双层帐篷，手动搭建。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3、睡袋：展开尺寸≥200*80cm，重量≤1.5KG，牛津布材质，压缩包装袋，190T涂层防水迷彩。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4、折叠工兵铲：展开尺寸≥45*15*10cm，毛重≥0.5公斤，碳钢材质。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照明灯：额定电压：电压DC≥3.7V；额定容量：2200mAh；具有泛光照明，红色、绿蓝、黄色、蓝色四种信号指示；具有四周红蓝警示灯，提供防爆合格证和CCC认证证书或认证证书查询截图。提供具有CMA或CNAS认证资质的检测机构出具的检测报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6、报警哨：尺寸≥10*2.5cm，ABS高强度抗摔耐高温工程塑料材质。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E3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30个</w:t>
            </w:r>
          </w:p>
        </w:tc>
      </w:tr>
      <w:tr w14:paraId="11139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2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8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16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应急电源</w:t>
            </w:r>
          </w:p>
        </w:tc>
        <w:tc>
          <w:tcPr>
            <w:tcW w:w="4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A9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1、额定容量：≥4000Wh。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2、电芯材料：磷酸铁锂（LFP）。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3、持续交流输出功率：≥3000W。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4、交流输出口：≥4 个（220V-240V）。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5、USB-C 接口：≥4 个（至少 2 路支持 140W PD 快充）。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6、USB-A 接口：≥4 个。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7、市电最大充电功率：≥2500W。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8、市电快充（0-80%）：≤70 分钟。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9、UPS 切换时间：≤0.01 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10、运行噪音：≤29dB。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11、工作温度（供电）：-10℃~45℃。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12、支持扩展：可通过 SDC 接口扩容至≥16 度电。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13、智能控制：支持 Wi-Fi / 蓝牙，手机 App 远程管理。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、配备照明：照明挡位:聚光(强光，中光）、泛光(强光，弱光），聚泛光（超强光)(≥5种照明模式)，照明模式在任何挡位双击可开启爆闪光，照明模式在任何挡位(含主灯聚光和副灯泛光)具有10%-100%无极调光功能；语音控制功能，可通过语音控制实现灯具灯光(含警示灯)的开启和关闭，以及照明模式、照明光强弱的切换。红光警示灯3档调节:常亮、频闪、S0S求救；蓝光，绿光夜视，黄光穿透，挡位记忆锁定模式。包含泛光及聚光最亮、渐暗、闪烁、红、蓝、绿夜视锁定7种LED发光模式。提供具有CMA或CNAS认证资质的检测机构出具的检测报告。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90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1台</w:t>
            </w:r>
          </w:p>
        </w:tc>
      </w:tr>
      <w:tr w14:paraId="5FC55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77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E1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救生拉杆</w:t>
            </w:r>
          </w:p>
        </w:tc>
        <w:tc>
          <w:tcPr>
            <w:tcW w:w="45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027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1、材质：相当于或优于碳纤维。提供船级社出具的检测报告。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2、尺寸：长≥4.0米，收缩后长≤1.5米。提供船级社出具的检测报告。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3、伸缩节数≥4节。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4、套圈:直径≥30cm。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5、粗管径：≤35mm, 细管径≤30mm。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AC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2把</w:t>
            </w:r>
          </w:p>
        </w:tc>
      </w:tr>
      <w:tr w14:paraId="7794B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1" w:hRule="atLeast"/>
        </w:trPr>
        <w:tc>
          <w:tcPr>
            <w:tcW w:w="6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3C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1E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绳索救援系统</w:t>
            </w:r>
          </w:p>
        </w:tc>
        <w:tc>
          <w:tcPr>
            <w:tcW w:w="4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FD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含滑轮1套、上升器3套、8孔分力板1个、安全绳50米1条、动力绳50米1条、绳索手套1双、山岳救援头盔1顶、头灯1个、护目镜1个、安全钩5个、抓绳器1个、下降器1个、连接带2个、缓冲器1个、脚踏带1条，三角梅陇锁1个，O型梅陇锁1个，牛尾绳1套，装备包1个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1、单滑轮：铝合金材质侧板和转轮，不锈钢轮轴，极限负荷≥40KN；双滑轮：铝合金材质侧板和转轮，不锈钢轮轴，极限负荷≥50KN。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2、手式上升器：沿绳索单向移动，反向受力内置倒齿卡住绳索达到止滑功能，备防脱绳索设计，把手绝缘功能，铝合金外壳，精密不锈钢凸轮，重量≤210g。工作负荷≥4KN；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胸式上升器：铝合金外壳，精密不锈钢凸轮，工作负荷≥5KN，重量≤180g；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脚式上升器：铝合金外壳，精密不锈钢凸轮，工作负荷≥5KN，重量≤150g。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3、8孔分力板：铝合金外壳，工作负荷≥50KN。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4、静力绳绳索直径10.5mm，破断强度≥30KN，每米重量≤75g，静力延展率≤5%。长度50米1条。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5、动力绳：材质：尼龙，直径≥9.0mm 适用拉力≥20KN。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6、绳索手套：双层皮质设计和凯夫拉缝线，手背部分弹性尼龙材质提供透气性和舒适度，背部手指处弹性橡胶垫设计，袖口摩术贴扣。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山岳救援头盔（含头灯、护目镜）：防震ABS外壳，六点悬浮扁带系统，头盔有≥10个通风孔，可调的头带，下颌带可根据不同用途调节强度；头盔内部塑料扣4个；须兼容头灯、护目镜、听力保护设备、摄像机等配件，可自由组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8、安全钩：铝合金，长轴方向（开口闭合状态）破断强度35KN。短轴方向破断强度≥11KN。提供具有CMA或CNAS认证资质的检测机构出具的检测报告。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9、抓绳器：具有内置锁定功能，无需辅助操作即可在绳索上下自由移动，发生坠落时可以立即锁止。铝合金外壳，精密不锈钢凸轮，工作负荷：≥10KN。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10、防慌乱下降器：铝合金外壳，精密不锈钢凸轮，工作负荷≥5KN，重量≤450g。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11、连接带：宽度≥15mm，断裂极限≥20KN。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12、缓冲器：高强丝材质，尺寸≥35cm，断裂负荷≥30KN。提供具有CMA或CNAS认证资质的检测机构出具的检测报告。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13、脚踏带：重量：≤75g（带钩子重量），长度≥120cm，宽度≥1.5cm，破断强度：≥20KN。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14、三角梅陇锁：不锈钢材质，破断强度≥45KN,表面光滑,硬度强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15、O型梅陇锁：不锈钢材质，破断强度≥50KN。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16、牛尾绳：杜邦丝+铝合金材质，破断强度≥22KN，长度15-95cm可调节。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17、消防全身式安全吊带：全身安全吊带，需提供消防产品认证证书或证书查询截图。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18、装备包：符合GB/T 21196.2-2007的标准，900D牛津布材质，容量≥40L。</w:t>
            </w:r>
          </w:p>
        </w:tc>
        <w:tc>
          <w:tcPr>
            <w:tcW w:w="24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09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1套</w:t>
            </w:r>
          </w:p>
        </w:tc>
      </w:tr>
      <w:tr w14:paraId="7B909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7" w:hRule="atLeast"/>
        </w:trPr>
        <w:tc>
          <w:tcPr>
            <w:tcW w:w="6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AC8B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7AE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CC4B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5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D7F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72F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C8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B5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潜水泵</w:t>
            </w:r>
          </w:p>
        </w:tc>
        <w:tc>
          <w:tcPr>
            <w:tcW w:w="45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90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1、流量：≥200m³/h。提供具有CMA或CNAS认证资质的检测机构出具的检测报告。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2、扬程：≥8m。提供具有CMA或CNAS认证资质的检测机构出具的检测报告。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3、额定功率：≥7.0kW。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4、额定电压：380V。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5、出口口径：200 mm（8寸）。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6、电缆长度（m）：≥5。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7、电机类型：永磁同步。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8、电机防护等级≥IP68；当发生漏电现象时，设备能自动切断电源，起到保护作用。提供具有CMA或CNAS认证资质的检测机构出具的检测报告。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9、过流部件材质：叶轮≥304不锈钢，主轴≥20Cr，泵体球墨铸铁，紧固件≥304不锈钢。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10、执行标准：符合 GB/T 25409、GB/T 12785-2014等。</w:t>
            </w:r>
          </w:p>
        </w:tc>
        <w:tc>
          <w:tcPr>
            <w:tcW w:w="245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D6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1台</w:t>
            </w:r>
          </w:p>
        </w:tc>
      </w:tr>
    </w:tbl>
    <w:p w14:paraId="5F172601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50369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943330"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943330"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CE7132"/>
    <w:rsid w:val="04CE35BC"/>
    <w:rsid w:val="0C5257B6"/>
    <w:rsid w:val="0E397C80"/>
    <w:rsid w:val="11607792"/>
    <w:rsid w:val="11A742C0"/>
    <w:rsid w:val="183E32DD"/>
    <w:rsid w:val="2064780D"/>
    <w:rsid w:val="2D0C25C4"/>
    <w:rsid w:val="342A4693"/>
    <w:rsid w:val="356928AF"/>
    <w:rsid w:val="39A462F2"/>
    <w:rsid w:val="47F31322"/>
    <w:rsid w:val="4BC506D8"/>
    <w:rsid w:val="50085BFD"/>
    <w:rsid w:val="510F6966"/>
    <w:rsid w:val="51A6461B"/>
    <w:rsid w:val="54FD5B23"/>
    <w:rsid w:val="5EB32BAE"/>
    <w:rsid w:val="77CE7132"/>
    <w:rsid w:val="7B32365D"/>
    <w:rsid w:val="7D1A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Theme="minorAscii" w:hAnsiTheme="minorAscii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afterLines="0" w:line="413" w:lineRule="auto"/>
      <w:ind w:firstLine="420"/>
      <w:jc w:val="center"/>
      <w:outlineLvl w:val="1"/>
    </w:pPr>
    <w:rPr>
      <w:rFonts w:ascii="宋体" w:hAnsi="宋体" w:eastAsia="楷体" w:cs="宋体"/>
      <w:b/>
      <w:bCs/>
      <w:color w:val="auto"/>
      <w:sz w:val="28"/>
      <w:szCs w:val="24"/>
      <w:highlight w:val="none"/>
      <w:lang w:val="zh-CN" w:eastAsia="zh-CN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宋体" w:asciiTheme="minorAscii" w:hAnsiTheme="minorAscii"/>
      <w:b/>
      <w:sz w:val="28"/>
      <w:szCs w:val="2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00" w:beforeLines="0" w:after="200" w:afterLines="0" w:line="200" w:lineRule="atLeast"/>
      <w:jc w:val="left"/>
      <w:outlineLvl w:val="3"/>
    </w:pPr>
    <w:rPr>
      <w:rFonts w:ascii="Arial" w:hAnsi="Arial" w:eastAsia="楷体"/>
      <w:b/>
      <w:sz w:val="24"/>
      <w:szCs w:val="22"/>
      <w:lang w:eastAsia="zh-Hans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00" w:beforeLines="0" w:after="200" w:afterLines="0" w:line="200" w:lineRule="atLeast"/>
      <w:jc w:val="left"/>
      <w:outlineLvl w:val="4"/>
    </w:pPr>
    <w:rPr>
      <w:rFonts w:eastAsia="宋体" w:asciiTheme="minorAscii" w:hAnsiTheme="minorAscii"/>
      <w:b/>
      <w:sz w:val="21"/>
      <w:szCs w:val="2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1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5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3107</Words>
  <Characters>3835</Characters>
  <Lines>0</Lines>
  <Paragraphs>0</Paragraphs>
  <TotalTime>9</TotalTime>
  <ScaleCrop>false</ScaleCrop>
  <LinksUpToDate>false</LinksUpToDate>
  <CharactersWithSpaces>3865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2026-08-17T09:40:00Z</dcterms:created>
  <dc:creator>任婷婷</dc:creator>
  <cp:lastModifiedBy>Hi~乜甘岩啊！</cp:lastModifiedBy>
  <dcterms:modified xsi:type="dcterms:W3CDTF">2026-08-19T01:40:21Z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56D2709C9F0C4F2B9873376794EF4EA0_13</vt:lpwstr>
  </property>
  <property fmtid="{D5CDD505-2E9C-101B-9397-08002B2CF9AE}" pid="4" name="KSOTemplateDocerSaveRecord">
    <vt:lpwstr>eyJoZGlkIjoiMDE3ZjAzNTJhM2M0MjRhODFkODU0MTMzZjI0MjYxYTQiLCJ1c2VySWQiOiI0Mjg3OTYzNzgifQ==</vt:lpwstr>
  </property>
</Properties>
</file>