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hint="default" w:ascii="Times New Roman" w:hAnsi="Times New Roman" w:cs="Times New Roman"/>
          <w:b/>
          <w:bCs/>
          <w:lang w:val="en-US" w:eastAsia="zh-CN"/>
        </w:rPr>
      </w:pPr>
      <w:r>
        <w:rPr>
          <w:rFonts w:hint="eastAsia" w:ascii="Times New Roman" w:hAnsi="Times New Roman" w:cs="Times New Roman"/>
          <w:b/>
          <w:bCs/>
          <w:lang w:eastAsia="zh-CN"/>
        </w:rPr>
        <w:t>附件</w:t>
      </w:r>
      <w:r>
        <w:rPr>
          <w:rFonts w:hint="eastAsia" w:ascii="Times New Roman" w:hAnsi="Times New Roman" w:cs="Times New Roman"/>
          <w:b/>
          <w:bCs/>
          <w:lang w:val="en-US" w:eastAsia="zh-CN"/>
        </w:rPr>
        <w:t>1</w:t>
      </w:r>
    </w:p>
    <w:p>
      <w:pPr>
        <w:ind w:firstLine="0" w:firstLineChars="0"/>
        <w:jc w:val="center"/>
        <w:rPr>
          <w:rFonts w:hint="eastAsia" w:ascii="Times New Roman" w:hAnsi="Times New Roman" w:eastAsia="方正小标宋_GBK" w:cs="Times New Roman"/>
          <w:sz w:val="44"/>
          <w:szCs w:val="44"/>
        </w:rPr>
      </w:pPr>
    </w:p>
    <w:p>
      <w:pPr>
        <w:ind w:firstLine="0" w:firstLineChars="0"/>
        <w:jc w:val="center"/>
        <w:rPr>
          <w:rFonts w:hint="eastAsia" w:ascii="Times New Roman" w:hAnsi="Times New Roman" w:eastAsia="方正小标宋_GBK" w:cs="Times New Roman"/>
          <w:sz w:val="44"/>
          <w:szCs w:val="44"/>
        </w:rPr>
      </w:pPr>
    </w:p>
    <w:p>
      <w:pPr>
        <w:ind w:firstLine="0" w:firstLineChars="0"/>
        <w:jc w:val="center"/>
        <w:rPr>
          <w:rFonts w:hint="eastAsia" w:ascii="Times New Roman" w:hAnsi="Times New Roman" w:eastAsia="方正小标宋_GBK" w:cs="Times New Roman"/>
          <w:sz w:val="44"/>
          <w:szCs w:val="44"/>
        </w:rPr>
      </w:pPr>
    </w:p>
    <w:p>
      <w:pPr>
        <w:ind w:firstLine="0" w:firstLineChars="0"/>
        <w:jc w:val="center"/>
        <w:rPr>
          <w:rFonts w:hint="eastAsia" w:ascii="Times New Roman" w:hAnsi="Times New Roman" w:eastAsia="方正小标宋_GBK" w:cs="Times New Roman"/>
          <w:sz w:val="44"/>
          <w:szCs w:val="44"/>
        </w:rPr>
      </w:pPr>
    </w:p>
    <w:p>
      <w:pPr>
        <w:ind w:firstLine="0" w:firstLineChars="0"/>
        <w:jc w:val="center"/>
        <w:rPr>
          <w:rFonts w:hint="eastAsia" w:ascii="Times New Roman" w:hAnsi="Times New Roman" w:eastAsia="方正小标宋_GBK" w:cs="Times New Roman"/>
          <w:sz w:val="44"/>
          <w:szCs w:val="44"/>
        </w:rPr>
      </w:pPr>
    </w:p>
    <w:p>
      <w:pPr>
        <w:ind w:firstLine="0" w:firstLineChars="0"/>
        <w:jc w:val="center"/>
        <w:rPr>
          <w:rFonts w:hint="eastAsia" w:ascii="Times New Roman" w:hAnsi="Times New Roman" w:eastAsia="方正小标宋_GBK" w:cs="Times New Roman"/>
          <w:sz w:val="44"/>
          <w:szCs w:val="44"/>
        </w:rPr>
      </w:pPr>
    </w:p>
    <w:p>
      <w:pPr>
        <w:ind w:firstLine="0" w:firstLineChars="0"/>
        <w:jc w:val="center"/>
        <w:rPr>
          <w:rFonts w:hint="eastAsia"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恩平市国资系统“十五五”（2026-2030年）</w:t>
      </w:r>
    </w:p>
    <w:p>
      <w:pPr>
        <w:ind w:firstLine="0" w:firstLineChars="0"/>
        <w:jc w:val="center"/>
        <w:rPr>
          <w:rFonts w:hint="eastAsia"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战略发展规划</w:t>
      </w:r>
    </w:p>
    <w:p>
      <w:pPr>
        <w:ind w:firstLine="0" w:firstLineChars="0"/>
        <w:jc w:val="center"/>
        <w:rPr>
          <w:rFonts w:hint="eastAsia" w:ascii="Times New Roman" w:hAnsi="Times New Roman" w:eastAsia="方正小标宋_GBK" w:cs="Times New Roman"/>
          <w:b w:val="0"/>
          <w:bCs w:val="0"/>
          <w:sz w:val="44"/>
          <w:szCs w:val="44"/>
          <w:lang w:eastAsia="zh-CN"/>
        </w:rPr>
      </w:pPr>
      <w:bookmarkStart w:id="377" w:name="_GoBack"/>
      <w:bookmarkEnd w:id="377"/>
    </w:p>
    <w:p>
      <w:pPr>
        <w:ind w:firstLine="0" w:firstLineChars="0"/>
        <w:jc w:val="center"/>
        <w:rPr>
          <w:rFonts w:ascii="Times New Roman" w:hAnsi="Times New Roman" w:eastAsia="方正小标宋_GBK" w:cs="Times New Roman"/>
          <w:sz w:val="44"/>
          <w:szCs w:val="44"/>
        </w:rPr>
      </w:pPr>
    </w:p>
    <w:p>
      <w:pPr>
        <w:ind w:firstLine="0" w:firstLineChars="0"/>
        <w:jc w:val="center"/>
        <w:rPr>
          <w:rFonts w:ascii="Times New Roman" w:hAnsi="Times New Roman" w:eastAsia="方正小标宋_GBK" w:cs="Times New Roman"/>
          <w:sz w:val="44"/>
          <w:szCs w:val="44"/>
        </w:rPr>
      </w:pPr>
    </w:p>
    <w:p>
      <w:pPr>
        <w:ind w:firstLine="0" w:firstLineChars="0"/>
        <w:jc w:val="center"/>
        <w:rPr>
          <w:rFonts w:ascii="Times New Roman" w:hAnsi="Times New Roman" w:eastAsia="方正小标宋_GBK" w:cs="Times New Roman"/>
          <w:sz w:val="44"/>
          <w:szCs w:val="44"/>
        </w:rPr>
      </w:pPr>
    </w:p>
    <w:p>
      <w:pPr>
        <w:ind w:firstLine="0" w:firstLineChars="0"/>
        <w:jc w:val="center"/>
        <w:rPr>
          <w:rFonts w:ascii="Times New Roman" w:hAnsi="Times New Roman" w:eastAsia="方正小标宋_GBK" w:cs="Times New Roman"/>
          <w:sz w:val="44"/>
          <w:szCs w:val="44"/>
        </w:rPr>
      </w:pPr>
    </w:p>
    <w:p>
      <w:pPr>
        <w:ind w:firstLine="0" w:firstLineChars="0"/>
        <w:jc w:val="center"/>
        <w:rPr>
          <w:rFonts w:ascii="Times New Roman" w:hAnsi="Times New Roman" w:eastAsia="方正小标宋_GBK" w:cs="Times New Roman"/>
          <w:sz w:val="44"/>
          <w:szCs w:val="44"/>
        </w:rPr>
      </w:pPr>
    </w:p>
    <w:p>
      <w:pPr>
        <w:ind w:firstLine="0" w:firstLineChars="0"/>
        <w:jc w:val="both"/>
        <w:rPr>
          <w:rFonts w:ascii="Times New Roman" w:hAnsi="Times New Roman" w:eastAsia="方正小标宋_GBK" w:cs="Times New Roman"/>
          <w:sz w:val="44"/>
          <w:szCs w:val="44"/>
        </w:rPr>
      </w:pPr>
    </w:p>
    <w:p>
      <w:pPr>
        <w:ind w:firstLine="0" w:firstLineChars="0"/>
        <w:jc w:val="center"/>
        <w:rPr>
          <w:rFonts w:ascii="Times New Roman" w:hAnsi="Times New Roman" w:eastAsia="方正小标宋_GBK" w:cs="Times New Roman"/>
          <w:sz w:val="44"/>
          <w:szCs w:val="44"/>
        </w:rPr>
      </w:pPr>
    </w:p>
    <w:p>
      <w:pPr>
        <w:ind w:firstLine="0" w:firstLineChars="0"/>
        <w:jc w:val="center"/>
        <w:rPr>
          <w:rFonts w:ascii="Times New Roman" w:hAnsi="Times New Roman" w:eastAsia="方正小标宋_GBK" w:cs="Times New Roman"/>
          <w:sz w:val="44"/>
          <w:szCs w:val="44"/>
        </w:rPr>
      </w:pPr>
    </w:p>
    <w:p>
      <w:pPr>
        <w:ind w:firstLine="0" w:firstLineChars="0"/>
        <w:jc w:val="center"/>
        <w:rPr>
          <w:rFonts w:ascii="Times New Roman" w:hAnsi="Times New Roman" w:eastAsia="方正小标宋_GBK" w:cs="Times New Roman"/>
          <w:sz w:val="44"/>
          <w:szCs w:val="44"/>
        </w:rPr>
      </w:pPr>
    </w:p>
    <w:p>
      <w:pPr>
        <w:ind w:firstLine="0" w:firstLineChars="0"/>
        <w:jc w:val="center"/>
        <w:rPr>
          <w:rFonts w:ascii="Times New Roman" w:hAnsi="Times New Roman" w:eastAsia="方正小标宋_GBK" w:cs="Times New Roman"/>
          <w:sz w:val="44"/>
          <w:szCs w:val="44"/>
        </w:rPr>
      </w:pPr>
    </w:p>
    <w:p>
      <w:pPr>
        <w:ind w:firstLine="0" w:firstLineChars="0"/>
        <w:jc w:val="center"/>
        <w:rPr>
          <w:rFonts w:hint="eastAsia" w:ascii="Times New Roman" w:hAnsi="Times New Roman" w:eastAsia="方正小标宋_GBK" w:cs="Times New Roman"/>
          <w:sz w:val="28"/>
          <w:szCs w:val="28"/>
          <w:lang w:eastAsia="zh-CN"/>
        </w:rPr>
      </w:pPr>
      <w:r>
        <w:rPr>
          <w:rFonts w:hint="eastAsia" w:ascii="Times New Roman" w:hAnsi="Times New Roman" w:eastAsia="方正小标宋_GBK" w:cs="Times New Roman"/>
          <w:sz w:val="28"/>
          <w:szCs w:val="28"/>
          <w:lang w:eastAsia="zh-CN"/>
        </w:rPr>
        <w:t>恩平市资产管理委员会办公室</w:t>
      </w:r>
    </w:p>
    <w:p>
      <w:pPr>
        <w:ind w:firstLine="0" w:firstLineChars="0"/>
        <w:jc w:val="center"/>
        <w:rPr>
          <w:rFonts w:hint="eastAsia" w:ascii="Times New Roman" w:hAnsi="Times New Roman" w:eastAsia="方正小标宋_GBK" w:cs="Times New Roman"/>
          <w:lang w:val="en-US"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cols w:space="0" w:num="1"/>
          <w:docGrid w:type="lines" w:linePitch="442" w:charSpace="0"/>
        </w:sectPr>
      </w:pPr>
      <w:r>
        <w:rPr>
          <w:rFonts w:hint="eastAsia" w:ascii="Times New Roman" w:hAnsi="Times New Roman" w:eastAsia="方正小标宋_GBK" w:cs="Times New Roman"/>
          <w:sz w:val="28"/>
          <w:szCs w:val="28"/>
        </w:rPr>
        <w:t>2026年</w:t>
      </w:r>
      <w:r>
        <w:rPr>
          <w:rFonts w:hint="eastAsia" w:ascii="Times New Roman" w:hAnsi="Times New Roman" w:eastAsia="方正小标宋_GBK" w:cs="Times New Roman"/>
          <w:sz w:val="28"/>
          <w:szCs w:val="28"/>
          <w:lang w:val="en-US" w:eastAsia="zh-CN"/>
        </w:rPr>
        <w:t>6月</w:t>
      </w:r>
    </w:p>
    <w:p>
      <w:pPr>
        <w:ind w:left="0" w:leftChars="0" w:firstLine="0" w:firstLineChars="0"/>
        <w:rPr>
          <w:rFonts w:ascii="Times New Roman" w:hAnsi="Times New Roman" w:cs="Times New Roman"/>
        </w:rPr>
      </w:pPr>
    </w:p>
    <w:sdt>
      <w:sdtPr>
        <w:rPr>
          <w:rFonts w:hint="eastAsia" w:ascii="Times New Roman" w:hAnsi="Times New Roman" w:eastAsia="仿宋_GB2312" w:cs="Times New Roman"/>
          <w:kern w:val="2"/>
          <w:sz w:val="32"/>
          <w:szCs w:val="32"/>
          <w:lang w:val="en-US" w:eastAsia="zh-CN" w:bidi="ar-SA"/>
        </w:rPr>
        <w:id w:val="147454744"/>
        <w15:color w:val="DBDBDB"/>
        <w:docPartObj>
          <w:docPartGallery w:val="Table of Contents"/>
          <w:docPartUnique/>
        </w:docPartObj>
      </w:sdtPr>
      <w:sdtEndPr>
        <w:rPr>
          <w:rFonts w:hint="eastAsia" w:ascii="Times New Roman" w:hAnsi="Times New Roman" w:eastAsia="仿宋_GB2312" w:cs="Times New Roman"/>
          <w:kern w:val="2"/>
          <w:sz w:val="32"/>
          <w:szCs w:val="24"/>
          <w:lang w:val="en-US" w:eastAsia="zh-CN" w:bidi="ar-SA"/>
        </w:rPr>
      </w:sdtEndPr>
      <w:sdtContent>
        <w:p>
          <w:pPr>
            <w:spacing w:before="0" w:beforeLines="0" w:after="0" w:afterLines="0" w:line="240" w:lineRule="auto"/>
            <w:ind w:left="0" w:leftChars="0" w:right="0" w:rightChars="0" w:firstLine="0" w:firstLineChars="0"/>
            <w:jc w:val="center"/>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目录</w:t>
          </w:r>
        </w:p>
        <w:p>
          <w:pPr>
            <w:pStyle w:val="15"/>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TOC \o "1-2" \h \u </w:instrText>
          </w:r>
          <w:r>
            <w:rPr>
              <w:rFonts w:ascii="Times New Roman" w:hAnsi="Times New Roman" w:cs="Times New Roman"/>
            </w:rPr>
            <w:fldChar w:fldCharType="separate"/>
          </w:r>
          <w:r>
            <w:rPr>
              <w:rFonts w:ascii="Times New Roman" w:hAnsi="Times New Roman" w:cs="Times New Roman"/>
            </w:rPr>
            <w:fldChar w:fldCharType="begin"/>
          </w:r>
          <w:r>
            <w:rPr>
              <w:rFonts w:ascii="Times New Roman" w:hAnsi="Times New Roman" w:cs="Times New Roman"/>
            </w:rPr>
            <w:instrText xml:space="preserve"> HYPERLINK \l _Toc23424 </w:instrText>
          </w:r>
          <w:r>
            <w:rPr>
              <w:rFonts w:ascii="Times New Roman" w:hAnsi="Times New Roman" w:cs="Times New Roman"/>
            </w:rPr>
            <w:fldChar w:fldCharType="separate"/>
          </w:r>
          <w:r>
            <w:rPr>
              <w:rFonts w:ascii="Times New Roman" w:hAnsi="Times New Roman" w:cs="Times New Roman"/>
            </w:rPr>
            <w:t>前言</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_Toc23424 \h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cs="Times New Roman"/>
            </w:rPr>
            <w:fldChar w:fldCharType="end"/>
          </w:r>
        </w:p>
        <w:p>
          <w:pPr>
            <w:pStyle w:val="15"/>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_Toc486 </w:instrText>
          </w:r>
          <w:r>
            <w:rPr>
              <w:rFonts w:ascii="Times New Roman" w:hAnsi="Times New Roman" w:cs="Times New Roman"/>
            </w:rPr>
            <w:fldChar w:fldCharType="separate"/>
          </w:r>
          <w:r>
            <w:rPr>
              <w:rFonts w:hint="eastAsia" w:ascii="Times New Roman" w:hAnsi="Times New Roman" w:cs="Times New Roman"/>
            </w:rPr>
            <w:t xml:space="preserve">第一章 </w:t>
          </w:r>
          <w:r>
            <w:rPr>
              <w:rFonts w:ascii="Times New Roman" w:hAnsi="Times New Roman" w:cs="Times New Roman"/>
            </w:rPr>
            <w:t>发展回顾</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_Toc486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_Toc5544 </w:instrText>
          </w:r>
          <w:r>
            <w:rPr>
              <w:rFonts w:ascii="Times New Roman" w:hAnsi="Times New Roman" w:cs="Times New Roman"/>
            </w:rPr>
            <w:fldChar w:fldCharType="separate"/>
          </w:r>
          <w:r>
            <w:rPr>
              <w:rFonts w:hint="eastAsia" w:ascii="Times New Roman" w:hAnsi="Times New Roman" w:cs="Times New Roman"/>
            </w:rPr>
            <w:t xml:space="preserve">一、 </w:t>
          </w:r>
          <w:r>
            <w:rPr>
              <w:rFonts w:ascii="Times New Roman" w:hAnsi="Times New Roman" w:cs="Times New Roman"/>
            </w:rPr>
            <w:t>发展基础</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_Toc5544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_Toc18871 </w:instrText>
          </w:r>
          <w:r>
            <w:rPr>
              <w:rFonts w:ascii="Times New Roman" w:hAnsi="Times New Roman" w:cs="Times New Roman"/>
            </w:rPr>
            <w:fldChar w:fldCharType="separate"/>
          </w:r>
          <w:r>
            <w:rPr>
              <w:rFonts w:hint="eastAsia" w:ascii="Times New Roman" w:hAnsi="Times New Roman" w:cs="Times New Roman"/>
            </w:rPr>
            <w:t xml:space="preserve">二、 </w:t>
          </w:r>
          <w:r>
            <w:rPr>
              <w:rFonts w:ascii="Times New Roman" w:hAnsi="Times New Roman" w:cs="Times New Roman"/>
            </w:rPr>
            <w:t>核心问题</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_Toc18871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pPr>
            <w:pStyle w:val="15"/>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_Toc4855 </w:instrText>
          </w:r>
          <w:r>
            <w:rPr>
              <w:rFonts w:ascii="Times New Roman" w:hAnsi="Times New Roman" w:cs="Times New Roman"/>
            </w:rPr>
            <w:fldChar w:fldCharType="separate"/>
          </w:r>
          <w:r>
            <w:rPr>
              <w:rFonts w:hint="eastAsia" w:ascii="Times New Roman" w:hAnsi="Times New Roman" w:cs="Times New Roman"/>
            </w:rPr>
            <w:t xml:space="preserve">第二章 </w:t>
          </w:r>
          <w:r>
            <w:rPr>
              <w:rFonts w:ascii="Times New Roman" w:hAnsi="Times New Roman" w:cs="Times New Roman"/>
            </w:rPr>
            <w:t>发展环境</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_Toc4855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_Toc11422 </w:instrText>
          </w:r>
          <w:r>
            <w:rPr>
              <w:rFonts w:ascii="Times New Roman" w:hAnsi="Times New Roman" w:cs="Times New Roman"/>
            </w:rPr>
            <w:fldChar w:fldCharType="separate"/>
          </w:r>
          <w:r>
            <w:rPr>
              <w:rFonts w:hint="eastAsia" w:ascii="Times New Roman" w:hAnsi="Times New Roman" w:cs="Times New Roman"/>
            </w:rPr>
            <w:t xml:space="preserve">一、 </w:t>
          </w:r>
          <w:r>
            <w:rPr>
              <w:rFonts w:ascii="Times New Roman" w:hAnsi="Times New Roman" w:cs="Times New Roman"/>
            </w:rPr>
            <w:t>发展环境</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_Toc11422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pPr>
            <w:pStyle w:val="15"/>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_Toc20067 </w:instrText>
          </w:r>
          <w:r>
            <w:rPr>
              <w:rFonts w:ascii="Times New Roman" w:hAnsi="Times New Roman" w:cs="Times New Roman"/>
            </w:rPr>
            <w:fldChar w:fldCharType="separate"/>
          </w:r>
          <w:r>
            <w:rPr>
              <w:rFonts w:hint="eastAsia" w:ascii="Times New Roman" w:hAnsi="Times New Roman" w:cs="Times New Roman"/>
            </w:rPr>
            <w:t xml:space="preserve">第三章 </w:t>
          </w:r>
          <w:r>
            <w:rPr>
              <w:rFonts w:ascii="Times New Roman" w:hAnsi="Times New Roman" w:cs="Times New Roman"/>
            </w:rPr>
            <w:t>总体战略</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_Toc20067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_Toc28692 </w:instrText>
          </w:r>
          <w:r>
            <w:rPr>
              <w:rFonts w:ascii="Times New Roman" w:hAnsi="Times New Roman" w:cs="Times New Roman"/>
            </w:rPr>
            <w:fldChar w:fldCharType="separate"/>
          </w:r>
          <w:r>
            <w:rPr>
              <w:rFonts w:hint="eastAsia" w:ascii="Times New Roman" w:hAnsi="Times New Roman" w:cs="Times New Roman"/>
            </w:rPr>
            <w:t xml:space="preserve">一、 </w:t>
          </w:r>
          <w:r>
            <w:rPr>
              <w:rFonts w:ascii="Times New Roman" w:hAnsi="Times New Roman" w:cs="Times New Roman"/>
            </w:rPr>
            <w:t>战略导向</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_Toc28692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_Toc15476 </w:instrText>
          </w:r>
          <w:r>
            <w:rPr>
              <w:rFonts w:ascii="Times New Roman" w:hAnsi="Times New Roman" w:cs="Times New Roman"/>
            </w:rPr>
            <w:fldChar w:fldCharType="separate"/>
          </w:r>
          <w:r>
            <w:rPr>
              <w:rFonts w:hint="eastAsia" w:ascii="Times New Roman" w:hAnsi="Times New Roman" w:cs="Times New Roman"/>
            </w:rPr>
            <w:t xml:space="preserve">二、 </w:t>
          </w:r>
          <w:r>
            <w:rPr>
              <w:rFonts w:ascii="Times New Roman" w:hAnsi="Times New Roman" w:cs="Times New Roman"/>
            </w:rPr>
            <w:t>战略目标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_Toc15476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pPr>
            <w:pStyle w:val="15"/>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_Toc12201 </w:instrText>
          </w:r>
          <w:r>
            <w:rPr>
              <w:rFonts w:ascii="Times New Roman" w:hAnsi="Times New Roman" w:cs="Times New Roman"/>
            </w:rPr>
            <w:fldChar w:fldCharType="separate"/>
          </w:r>
          <w:r>
            <w:rPr>
              <w:rFonts w:hint="eastAsia" w:ascii="Times New Roman" w:hAnsi="Times New Roman" w:cs="Times New Roman"/>
            </w:rPr>
            <w:t xml:space="preserve">第四章 </w:t>
          </w:r>
          <w:r>
            <w:rPr>
              <w:rFonts w:ascii="Times New Roman" w:hAnsi="Times New Roman" w:cs="Times New Roman"/>
            </w:rPr>
            <w:t>重点发展举措</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_Toc12201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_Toc18169 </w:instrText>
          </w:r>
          <w:r>
            <w:rPr>
              <w:rFonts w:ascii="Times New Roman" w:hAnsi="Times New Roman" w:cs="Times New Roman"/>
            </w:rPr>
            <w:fldChar w:fldCharType="separate"/>
          </w:r>
          <w:r>
            <w:rPr>
              <w:rFonts w:hint="eastAsia" w:ascii="Times New Roman" w:hAnsi="Times New Roman" w:cs="Times New Roman"/>
            </w:rPr>
            <w:t xml:space="preserve">一、 </w:t>
          </w:r>
          <w:r>
            <w:rPr>
              <w:rFonts w:ascii="Times New Roman" w:hAnsi="Times New Roman" w:cs="Times New Roman"/>
            </w:rPr>
            <w:t>优化国资监管体系，提升监管效能</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_Toc18169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_Toc109 </w:instrText>
          </w:r>
          <w:r>
            <w:rPr>
              <w:rFonts w:ascii="Times New Roman" w:hAnsi="Times New Roman" w:cs="Times New Roman"/>
            </w:rPr>
            <w:fldChar w:fldCharType="separate"/>
          </w:r>
          <w:r>
            <w:rPr>
              <w:rFonts w:hint="eastAsia" w:ascii="Times New Roman" w:hAnsi="Times New Roman" w:cs="Times New Roman"/>
            </w:rPr>
            <w:t xml:space="preserve">二、 </w:t>
          </w:r>
          <w:r>
            <w:rPr>
              <w:rFonts w:ascii="Times New Roman" w:hAnsi="Times New Roman" w:cs="Times New Roman"/>
            </w:rPr>
            <w:t>调整国资产业布局，强化战略引领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_Toc109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_Toc8023 </w:instrText>
          </w:r>
          <w:r>
            <w:rPr>
              <w:rFonts w:ascii="Times New Roman" w:hAnsi="Times New Roman" w:cs="Times New Roman"/>
            </w:rPr>
            <w:fldChar w:fldCharType="separate"/>
          </w:r>
          <w:r>
            <w:rPr>
              <w:rFonts w:hint="eastAsia" w:ascii="Times New Roman" w:hAnsi="Times New Roman" w:cs="Times New Roman"/>
            </w:rPr>
            <w:t xml:space="preserve">三、 </w:t>
          </w:r>
          <w:r>
            <w:rPr>
              <w:rFonts w:ascii="Times New Roman" w:hAnsi="Times New Roman" w:cs="Times New Roman"/>
            </w:rPr>
            <w:t>强化国资运营管理，做优资产规模效益</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_Toc8023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_Toc17530 </w:instrText>
          </w:r>
          <w:r>
            <w:rPr>
              <w:rFonts w:ascii="Times New Roman" w:hAnsi="Times New Roman" w:cs="Times New Roman"/>
            </w:rPr>
            <w:fldChar w:fldCharType="separate"/>
          </w:r>
          <w:r>
            <w:rPr>
              <w:rFonts w:hint="eastAsia" w:ascii="Times New Roman" w:hAnsi="Times New Roman" w:cs="Times New Roman"/>
            </w:rPr>
            <w:t xml:space="preserve">四、 </w:t>
          </w:r>
          <w:r>
            <w:rPr>
              <w:rFonts w:ascii="Times New Roman" w:hAnsi="Times New Roman" w:cs="Times New Roman"/>
            </w:rPr>
            <w:t>创新体制机制，深化国资国企改革</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_Toc17530 \h </w:instrText>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_Toc25694 </w:instrText>
          </w:r>
          <w:r>
            <w:rPr>
              <w:rFonts w:ascii="Times New Roman" w:hAnsi="Times New Roman" w:cs="Times New Roman"/>
            </w:rPr>
            <w:fldChar w:fldCharType="separate"/>
          </w:r>
          <w:r>
            <w:rPr>
              <w:rFonts w:hint="eastAsia" w:ascii="Times New Roman" w:hAnsi="Times New Roman" w:cs="Times New Roman"/>
            </w:rPr>
            <w:t xml:space="preserve">五、 </w:t>
          </w:r>
          <w:r>
            <w:rPr>
              <w:rFonts w:ascii="Times New Roman" w:hAnsi="Times New Roman" w:cs="Times New Roman"/>
            </w:rPr>
            <w:t>落实人才强企，激活国企发展活力</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_Toc25694 \h </w:instrText>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r>
            <w:rPr>
              <w:rFonts w:ascii="Times New Roman" w:hAnsi="Times New Roman" w:cs="Times New Roman"/>
            </w:rPr>
            <w:fldChar w:fldCharType="end"/>
          </w:r>
        </w:p>
        <w:p>
          <w:pPr>
            <w:pStyle w:val="15"/>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_Toc22519 </w:instrText>
          </w:r>
          <w:r>
            <w:rPr>
              <w:rFonts w:ascii="Times New Roman" w:hAnsi="Times New Roman" w:cs="Times New Roman"/>
            </w:rPr>
            <w:fldChar w:fldCharType="separate"/>
          </w:r>
          <w:r>
            <w:rPr>
              <w:rFonts w:hint="eastAsia" w:ascii="Times New Roman" w:hAnsi="Times New Roman" w:cs="Times New Roman"/>
            </w:rPr>
            <w:t xml:space="preserve">第五章 </w:t>
          </w:r>
          <w:r>
            <w:rPr>
              <w:rFonts w:ascii="Times New Roman" w:hAnsi="Times New Roman" w:cs="Times New Roman"/>
            </w:rPr>
            <w:t>国企发展导向</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_Toc22519 \h </w:instrText>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_Toc16336 </w:instrText>
          </w:r>
          <w:r>
            <w:rPr>
              <w:rFonts w:ascii="Times New Roman" w:hAnsi="Times New Roman" w:cs="Times New Roman"/>
            </w:rPr>
            <w:fldChar w:fldCharType="separate"/>
          </w:r>
          <w:r>
            <w:rPr>
              <w:rFonts w:hint="eastAsia" w:ascii="Times New Roman" w:hAnsi="Times New Roman" w:cs="Times New Roman"/>
            </w:rPr>
            <w:t xml:space="preserve">一、 </w:t>
          </w:r>
          <w:r>
            <w:rPr>
              <w:rFonts w:ascii="Times New Roman" w:hAnsi="Times New Roman" w:cs="Times New Roman"/>
            </w:rPr>
            <w:t>优化国企布局结构</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_Toc16336 \h </w:instrText>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_Toc19212 </w:instrText>
          </w:r>
          <w:r>
            <w:rPr>
              <w:rFonts w:ascii="Times New Roman" w:hAnsi="Times New Roman" w:cs="Times New Roman"/>
            </w:rPr>
            <w:fldChar w:fldCharType="separate"/>
          </w:r>
          <w:r>
            <w:rPr>
              <w:rFonts w:hint="eastAsia" w:ascii="Times New Roman" w:hAnsi="Times New Roman" w:cs="Times New Roman"/>
            </w:rPr>
            <w:t xml:space="preserve">二、 </w:t>
          </w:r>
          <w:r>
            <w:rPr>
              <w:rFonts w:ascii="Times New Roman" w:hAnsi="Times New Roman" w:cs="Times New Roman"/>
            </w:rPr>
            <w:t>北晟集团有限公司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_Toc19212 \h </w:instrText>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_Toc243 </w:instrText>
          </w:r>
          <w:r>
            <w:rPr>
              <w:rFonts w:ascii="Times New Roman" w:hAnsi="Times New Roman" w:cs="Times New Roman"/>
            </w:rPr>
            <w:fldChar w:fldCharType="separate"/>
          </w:r>
          <w:r>
            <w:rPr>
              <w:rFonts w:hint="eastAsia" w:ascii="Times New Roman" w:hAnsi="Times New Roman" w:cs="Times New Roman"/>
            </w:rPr>
            <w:t xml:space="preserve">三、 </w:t>
          </w:r>
          <w:r>
            <w:rPr>
              <w:rFonts w:ascii="Times New Roman" w:hAnsi="Times New Roman" w:cs="Times New Roman"/>
            </w:rPr>
            <w:t>公有公司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_Toc243 \h </w:instrText>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_Toc14494 </w:instrText>
          </w:r>
          <w:r>
            <w:rPr>
              <w:rFonts w:ascii="Times New Roman" w:hAnsi="Times New Roman" w:cs="Times New Roman"/>
            </w:rPr>
            <w:fldChar w:fldCharType="separate"/>
          </w:r>
          <w:r>
            <w:rPr>
              <w:rFonts w:hint="eastAsia" w:ascii="Times New Roman" w:hAnsi="Times New Roman" w:cs="Times New Roman"/>
            </w:rPr>
            <w:t xml:space="preserve">四、 </w:t>
          </w:r>
          <w:r>
            <w:rPr>
              <w:rFonts w:hint="eastAsia" w:ascii="Times New Roman" w:hAnsi="Times New Roman" w:cs="Times New Roman"/>
              <w:lang w:val="en-US" w:eastAsia="zh-CN"/>
            </w:rPr>
            <w:t>新园区公司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_Toc14494 \h </w:instrText>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_Toc9449 </w:instrText>
          </w:r>
          <w:r>
            <w:rPr>
              <w:rFonts w:ascii="Times New Roman" w:hAnsi="Times New Roman" w:cs="Times New Roman"/>
            </w:rPr>
            <w:fldChar w:fldCharType="separate"/>
          </w:r>
          <w:r>
            <w:rPr>
              <w:rFonts w:hint="eastAsia" w:ascii="Times New Roman" w:hAnsi="Times New Roman" w:cs="Times New Roman"/>
              <w:lang w:val="en-US" w:eastAsia="zh-CN"/>
            </w:rPr>
            <w:t>五、 恩平市恩富贸易有限公司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_Toc9449 \h </w:instrText>
          </w:r>
          <w:r>
            <w:rPr>
              <w:rFonts w:ascii="Times New Roman" w:hAnsi="Times New Roman" w:cs="Times New Roman"/>
            </w:rPr>
            <w:fldChar w:fldCharType="separate"/>
          </w:r>
          <w:r>
            <w:rPr>
              <w:rFonts w:ascii="Times New Roman" w:hAnsi="Times New Roman" w:cs="Times New Roman"/>
            </w:rPr>
            <w:t>20</w:t>
          </w:r>
          <w:r>
            <w:rPr>
              <w:rFonts w:ascii="Times New Roman" w:hAnsi="Times New Roman" w:cs="Times New Roman"/>
            </w:rPr>
            <w:fldChar w:fldCharType="end"/>
          </w:r>
          <w:r>
            <w:rPr>
              <w:rFonts w:ascii="Times New Roman" w:hAnsi="Times New Roman" w:cs="Times New Roman"/>
            </w:rPr>
            <w:fldChar w:fldCharType="end"/>
          </w:r>
        </w:p>
        <w:p>
          <w:pPr>
            <w:pStyle w:val="15"/>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_Toc2002 </w:instrText>
          </w:r>
          <w:r>
            <w:rPr>
              <w:rFonts w:ascii="Times New Roman" w:hAnsi="Times New Roman" w:cs="Times New Roman"/>
            </w:rPr>
            <w:fldChar w:fldCharType="separate"/>
          </w:r>
          <w:r>
            <w:rPr>
              <w:rFonts w:hint="eastAsia" w:ascii="Times New Roman" w:hAnsi="Times New Roman" w:cs="Times New Roman"/>
            </w:rPr>
            <w:t xml:space="preserve">第六章 </w:t>
          </w:r>
          <w:r>
            <w:rPr>
              <w:rFonts w:ascii="Times New Roman" w:hAnsi="Times New Roman" w:cs="Times New Roman"/>
            </w:rPr>
            <w:t>保障措施</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_Toc2002 \h </w:instrText>
          </w:r>
          <w:r>
            <w:rPr>
              <w:rFonts w:ascii="Times New Roman" w:hAnsi="Times New Roman" w:cs="Times New Roman"/>
            </w:rPr>
            <w:fldChar w:fldCharType="separate"/>
          </w:r>
          <w:r>
            <w:rPr>
              <w:rFonts w:ascii="Times New Roman" w:hAnsi="Times New Roman" w:cs="Times New Roman"/>
            </w:rPr>
            <w:t>23</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_Toc682 </w:instrText>
          </w:r>
          <w:r>
            <w:rPr>
              <w:rFonts w:ascii="Times New Roman" w:hAnsi="Times New Roman" w:cs="Times New Roman"/>
            </w:rPr>
            <w:fldChar w:fldCharType="separate"/>
          </w:r>
          <w:r>
            <w:rPr>
              <w:rFonts w:hint="eastAsia" w:ascii="Times New Roman" w:hAnsi="Times New Roman" w:cs="Times New Roman"/>
            </w:rPr>
            <w:t xml:space="preserve">一、 </w:t>
          </w:r>
          <w:r>
            <w:rPr>
              <w:rFonts w:ascii="Times New Roman" w:hAnsi="Times New Roman" w:cs="Times New Roman"/>
            </w:rPr>
            <w:t>坚持党的全面领导，加强国企党建工作</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_Toc682 \h </w:instrText>
          </w:r>
          <w:r>
            <w:rPr>
              <w:rFonts w:ascii="Times New Roman" w:hAnsi="Times New Roman" w:cs="Times New Roman"/>
            </w:rPr>
            <w:fldChar w:fldCharType="separate"/>
          </w:r>
          <w:r>
            <w:rPr>
              <w:rFonts w:ascii="Times New Roman" w:hAnsi="Times New Roman" w:cs="Times New Roman"/>
            </w:rPr>
            <w:t>23</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_Toc5788 </w:instrText>
          </w:r>
          <w:r>
            <w:rPr>
              <w:rFonts w:ascii="Times New Roman" w:hAnsi="Times New Roman" w:cs="Times New Roman"/>
            </w:rPr>
            <w:fldChar w:fldCharType="separate"/>
          </w:r>
          <w:r>
            <w:rPr>
              <w:rFonts w:hint="eastAsia" w:ascii="Times New Roman" w:hAnsi="Times New Roman" w:cs="Times New Roman"/>
            </w:rPr>
            <w:t xml:space="preserve">二、 </w:t>
          </w:r>
          <w:r>
            <w:rPr>
              <w:rFonts w:ascii="Times New Roman" w:hAnsi="Times New Roman" w:cs="Times New Roman"/>
            </w:rPr>
            <w:t>强化组织领导，推动规划落地实施</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_Toc5788 \h </w:instrText>
          </w:r>
          <w:r>
            <w:rPr>
              <w:rFonts w:ascii="Times New Roman" w:hAnsi="Times New Roman" w:cs="Times New Roman"/>
            </w:rPr>
            <w:fldChar w:fldCharType="separate"/>
          </w:r>
          <w:r>
            <w:rPr>
              <w:rFonts w:ascii="Times New Roman" w:hAnsi="Times New Roman" w:cs="Times New Roman"/>
            </w:rPr>
            <w:t>23</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_Toc16327 </w:instrText>
          </w:r>
          <w:r>
            <w:rPr>
              <w:rFonts w:ascii="Times New Roman" w:hAnsi="Times New Roman" w:cs="Times New Roman"/>
            </w:rPr>
            <w:fldChar w:fldCharType="separate"/>
          </w:r>
          <w:r>
            <w:rPr>
              <w:rFonts w:hint="eastAsia" w:ascii="Times New Roman" w:hAnsi="Times New Roman" w:cs="Times New Roman"/>
            </w:rPr>
            <w:t xml:space="preserve">三、 </w:t>
          </w:r>
          <w:r>
            <w:rPr>
              <w:rFonts w:ascii="Times New Roman" w:hAnsi="Times New Roman" w:cs="Times New Roman"/>
            </w:rPr>
            <w:t>健全绩效管理，完善考核评价体系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_Toc16327 \h </w:instrText>
          </w:r>
          <w:r>
            <w:rPr>
              <w:rFonts w:ascii="Times New Roman" w:hAnsi="Times New Roman" w:cs="Times New Roman"/>
            </w:rPr>
            <w:fldChar w:fldCharType="separate"/>
          </w:r>
          <w:r>
            <w:rPr>
              <w:rFonts w:ascii="Times New Roman" w:hAnsi="Times New Roman" w:cs="Times New Roman"/>
            </w:rPr>
            <w:t>23</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_Toc32240 </w:instrText>
          </w:r>
          <w:r>
            <w:rPr>
              <w:rFonts w:ascii="Times New Roman" w:hAnsi="Times New Roman" w:cs="Times New Roman"/>
            </w:rPr>
            <w:fldChar w:fldCharType="separate"/>
          </w:r>
          <w:r>
            <w:rPr>
              <w:rFonts w:hint="eastAsia" w:ascii="Times New Roman" w:hAnsi="Times New Roman" w:cs="Times New Roman"/>
            </w:rPr>
            <w:t xml:space="preserve">四、 </w:t>
          </w:r>
          <w:r>
            <w:rPr>
              <w:rFonts w:ascii="Times New Roman" w:hAnsi="Times New Roman" w:cs="Times New Roman"/>
            </w:rPr>
            <w:t>落实责任追究，筑牢国资安全防线</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_Toc32240 \h </w:instrText>
          </w:r>
          <w:r>
            <w:rPr>
              <w:rFonts w:ascii="Times New Roman" w:hAnsi="Times New Roman" w:cs="Times New Roman"/>
            </w:rPr>
            <w:fldChar w:fldCharType="separate"/>
          </w:r>
          <w:r>
            <w:rPr>
              <w:rFonts w:ascii="Times New Roman" w:hAnsi="Times New Roman" w:cs="Times New Roman"/>
            </w:rPr>
            <w:t>24</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_Toc7274 </w:instrText>
          </w:r>
          <w:r>
            <w:rPr>
              <w:rFonts w:ascii="Times New Roman" w:hAnsi="Times New Roman" w:cs="Times New Roman"/>
            </w:rPr>
            <w:fldChar w:fldCharType="separate"/>
          </w:r>
          <w:r>
            <w:rPr>
              <w:rFonts w:hint="eastAsia" w:ascii="Times New Roman" w:hAnsi="Times New Roman" w:cs="Times New Roman"/>
            </w:rPr>
            <w:t xml:space="preserve">五、 </w:t>
          </w:r>
          <w:r>
            <w:rPr>
              <w:rFonts w:ascii="Times New Roman" w:hAnsi="Times New Roman" w:cs="Times New Roman"/>
            </w:rPr>
            <w:t>建立容错纠错，鼓励改革创新探索</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_Toc7274 \h </w:instrText>
          </w:r>
          <w:r>
            <w:rPr>
              <w:rFonts w:ascii="Times New Roman" w:hAnsi="Times New Roman" w:cs="Times New Roman"/>
            </w:rPr>
            <w:fldChar w:fldCharType="separate"/>
          </w:r>
          <w:r>
            <w:rPr>
              <w:rFonts w:ascii="Times New Roman" w:hAnsi="Times New Roman" w:cs="Times New Roman"/>
            </w:rPr>
            <w:t>24</w:t>
          </w:r>
          <w:r>
            <w:rPr>
              <w:rFonts w:ascii="Times New Roman" w:hAnsi="Times New Roman" w:cs="Times New Roman"/>
            </w:rPr>
            <w:fldChar w:fldCharType="end"/>
          </w:r>
          <w:r>
            <w:rPr>
              <w:rFonts w:ascii="Times New Roman" w:hAnsi="Times New Roman" w:cs="Times New Roman"/>
            </w:rPr>
            <w:fldChar w:fldCharType="end"/>
          </w:r>
        </w:p>
        <w:p>
          <w:pPr>
            <w:pStyle w:val="15"/>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_Toc25675 </w:instrText>
          </w:r>
          <w:r>
            <w:rPr>
              <w:rFonts w:ascii="Times New Roman" w:hAnsi="Times New Roman" w:cs="Times New Roman"/>
            </w:rPr>
            <w:fldChar w:fldCharType="separate"/>
          </w:r>
          <w:r>
            <w:rPr>
              <w:rFonts w:hint="eastAsia" w:ascii="Times New Roman" w:hAnsi="Times New Roman" w:cs="Times New Roman"/>
              <w:lang w:val="en-US" w:eastAsia="zh-CN"/>
            </w:rPr>
            <w:t>附件一：</w:t>
          </w:r>
          <w:r>
            <w:rPr>
              <w:rFonts w:hint="eastAsia" w:ascii="Times New Roman" w:hAnsi="Times New Roman" w:cs="Times New Roman"/>
            </w:rPr>
            <w:t>广东北晟建设投资集团有限公司“十五五”（2026-2030年）企业发展规划</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_Toc25675 \h </w:instrText>
          </w:r>
          <w:r>
            <w:rPr>
              <w:rFonts w:ascii="Times New Roman" w:hAnsi="Times New Roman" w:cs="Times New Roman"/>
            </w:rPr>
            <w:fldChar w:fldCharType="separate"/>
          </w:r>
          <w:r>
            <w:rPr>
              <w:rFonts w:ascii="Times New Roman" w:hAnsi="Times New Roman" w:cs="Times New Roman"/>
            </w:rPr>
            <w:t>25</w:t>
          </w:r>
          <w:r>
            <w:rPr>
              <w:rFonts w:ascii="Times New Roman" w:hAnsi="Times New Roman" w:cs="Times New Roman"/>
            </w:rPr>
            <w:fldChar w:fldCharType="end"/>
          </w:r>
          <w:r>
            <w:rPr>
              <w:rFonts w:ascii="Times New Roman" w:hAnsi="Times New Roman" w:cs="Times New Roman"/>
            </w:rPr>
            <w:fldChar w:fldCharType="end"/>
          </w:r>
        </w:p>
        <w:p>
          <w:pPr>
            <w:pStyle w:val="15"/>
            <w:tabs>
              <w:tab w:val="right" w:leader="dot" w:pos="8845"/>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_Toc29391 </w:instrText>
          </w:r>
          <w:r>
            <w:rPr>
              <w:rFonts w:ascii="Times New Roman" w:hAnsi="Times New Roman" w:cs="Times New Roman"/>
            </w:rPr>
            <w:fldChar w:fldCharType="separate"/>
          </w:r>
          <w:r>
            <w:rPr>
              <w:rFonts w:hint="eastAsia" w:ascii="Times New Roman" w:hAnsi="Times New Roman" w:cs="Times New Roman"/>
              <w:lang w:val="en-US" w:eastAsia="zh-CN"/>
            </w:rPr>
            <w:t>附件二：</w:t>
          </w:r>
          <w:r>
            <w:rPr>
              <w:rFonts w:hint="eastAsia" w:ascii="Times New Roman" w:hAnsi="Times New Roman" w:cs="Times New Roman"/>
            </w:rPr>
            <w:t>恩平市公有资产经营有限公司“十五五”（2026—2030年）企业发展规划</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_Toc29391 \h </w:instrText>
          </w:r>
          <w:r>
            <w:rPr>
              <w:rFonts w:ascii="Times New Roman" w:hAnsi="Times New Roman" w:cs="Times New Roman"/>
            </w:rPr>
            <w:fldChar w:fldCharType="separate"/>
          </w:r>
          <w:r>
            <w:rPr>
              <w:rFonts w:ascii="Times New Roman" w:hAnsi="Times New Roman" w:cs="Times New Roman"/>
            </w:rPr>
            <w:t>49</w:t>
          </w:r>
          <w:r>
            <w:rPr>
              <w:rFonts w:ascii="Times New Roman" w:hAnsi="Times New Roman" w:cs="Times New Roman"/>
            </w:rPr>
            <w:fldChar w:fldCharType="end"/>
          </w:r>
          <w:r>
            <w:rPr>
              <w:rFonts w:ascii="Times New Roman" w:hAnsi="Times New Roman" w:cs="Times New Roman"/>
            </w:rPr>
            <w:fldChar w:fldCharType="end"/>
          </w:r>
        </w:p>
        <w:p>
          <w:pPr>
            <w:ind w:firstLine="640"/>
            <w:rPr>
              <w:rFonts w:ascii="Times New Roman" w:hAnsi="Times New Roman" w:eastAsia="仿宋_GB2312" w:cs="Times New Roman"/>
              <w:kern w:val="2"/>
              <w:sz w:val="32"/>
              <w:szCs w:val="24"/>
              <w:lang w:val="en-US" w:eastAsia="zh-CN" w:bidi="ar-SA"/>
            </w:rPr>
          </w:pPr>
          <w:r>
            <w:rPr>
              <w:rFonts w:ascii="Times New Roman" w:hAnsi="Times New Roman" w:cs="Times New Roman"/>
            </w:rPr>
            <w:fldChar w:fldCharType="end"/>
          </w:r>
        </w:p>
      </w:sdtContent>
    </w:sdt>
    <w:p>
      <w:pPr>
        <w:ind w:firstLine="640"/>
        <w:rPr>
          <w:rFonts w:ascii="Times New Roman" w:hAnsi="Times New Roman" w:eastAsia="仿宋_GB2312" w:cs="Times New Roman"/>
          <w:kern w:val="2"/>
          <w:sz w:val="32"/>
          <w:szCs w:val="24"/>
          <w:lang w:val="en-US" w:eastAsia="zh-CN" w:bidi="ar-SA"/>
        </w:rPr>
      </w:pPr>
    </w:p>
    <w:p>
      <w:pPr>
        <w:ind w:firstLine="48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br w:type="page"/>
      </w:r>
    </w:p>
    <w:p>
      <w:pPr>
        <w:pStyle w:val="2"/>
        <w:numPr>
          <w:ilvl w:val="0"/>
          <w:numId w:val="0"/>
        </w:numPr>
        <w:spacing w:before="221" w:after="221"/>
        <w:rPr>
          <w:rFonts w:hint="default" w:ascii="Times New Roman" w:hAnsi="Times New Roman" w:cs="Times New Roman"/>
        </w:rPr>
      </w:pPr>
      <w:bookmarkStart w:id="0" w:name="_Toc23424"/>
      <w:bookmarkStart w:id="1" w:name="_Toc28324"/>
      <w:r>
        <w:rPr>
          <w:rFonts w:ascii="Times New Roman" w:hAnsi="Times New Roman" w:cs="Times New Roman"/>
        </w:rPr>
        <w:t>前言</w:t>
      </w:r>
      <w:bookmarkEnd w:id="0"/>
      <w:bookmarkEnd w:id="1"/>
    </w:p>
    <w:p>
      <w:pPr>
        <w:ind w:firstLine="640"/>
        <w:rPr>
          <w:rFonts w:ascii="Times New Roman" w:hAnsi="Times New Roman" w:cs="Times New Roman"/>
        </w:rPr>
      </w:pPr>
      <w:r>
        <w:rPr>
          <w:rFonts w:hint="eastAsia" w:ascii="Times New Roman" w:hAnsi="Times New Roman" w:cs="Times New Roman"/>
        </w:rPr>
        <w:t>“十五五”（2026-2030年）是恩平市融入粤港澳大湾区西翼建设、实现高质量跨越式发展的关键五年，也是国有经济从“规模扩张”向“价值创造”、从“政策依赖”向“市场驱动”转型的战略攻坚期。为深入贯彻落实国家、省、江门市国资国企改革发展部署，紧扣恩平市国民经济和社会发展总体要求，持续深化国资国企改革，优化国有资本布局，提升国企核心竞争力，充分发挥国资国企在区域发展中的战略支撑作用，结合恩平国资国企发展实际，制定本规划。</w:t>
      </w:r>
    </w:p>
    <w:p>
      <w:pPr>
        <w:ind w:firstLine="640"/>
        <w:rPr>
          <w:rFonts w:hint="default" w:ascii="Times New Roman" w:hAnsi="Times New Roman" w:eastAsia="仿宋_GB2312" w:cs="Times New Roman"/>
          <w:lang w:val="en-US" w:eastAsia="zh-CN"/>
        </w:rPr>
      </w:pPr>
      <w:r>
        <w:rPr>
          <w:rFonts w:hint="eastAsia" w:ascii="Times New Roman" w:hAnsi="Times New Roman" w:cs="Times New Roman"/>
          <w:lang w:val="en-US" w:eastAsia="zh-CN"/>
        </w:rPr>
        <w:t>本规划所称“市资产办”指为恩平市资产管理委员会办公室，所称“公有公司”为恩平市公有资产经营有限公司，所称“北晟集团”为广东北晟建设投资集团有限公司。</w:t>
      </w:r>
    </w:p>
    <w:p>
      <w:pPr>
        <w:rPr>
          <w:rFonts w:hint="eastAsia" w:ascii="Times New Roman" w:hAnsi="Times New Roman" w:cs="Times New Roman"/>
        </w:rPr>
      </w:pPr>
      <w:r>
        <w:rPr>
          <w:rFonts w:hint="eastAsia" w:ascii="Times New Roman" w:hAnsi="Times New Roman" w:cs="Times New Roman"/>
        </w:rPr>
        <w:br w:type="page"/>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Times New Roman" w:hAnsi="Times New Roman" w:cs="Times New Roman"/>
        </w:rPr>
      </w:pPr>
      <w:bookmarkStart w:id="2" w:name="_Toc486"/>
      <w:bookmarkStart w:id="3" w:name="_Toc4755"/>
      <w:r>
        <w:rPr>
          <w:rFonts w:hint="eastAsia" w:ascii="Times New Roman" w:hAnsi="Times New Roman" w:eastAsia="黑体" w:cs="Times New Roman"/>
          <w:bCs/>
          <w:kern w:val="44"/>
          <w:sz w:val="32"/>
          <w:szCs w:val="48"/>
          <w:lang w:val="en-US" w:eastAsia="zh-CN" w:bidi="ar-SA"/>
        </w:rPr>
        <w:t xml:space="preserve">第一章 </w:t>
      </w:r>
      <w:r>
        <w:rPr>
          <w:rFonts w:ascii="Times New Roman" w:hAnsi="Times New Roman" w:cs="Times New Roman"/>
        </w:rPr>
        <w:t>发展回顾</w:t>
      </w:r>
      <w:bookmarkEnd w:id="2"/>
      <w:bookmarkEnd w:id="3"/>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line="560" w:lineRule="exact"/>
        <w:ind w:left="0" w:leftChars="0" w:firstLine="643" w:firstLineChars="200"/>
        <w:textAlignment w:val="auto"/>
        <w:rPr>
          <w:rFonts w:hint="default" w:ascii="Times New Roman" w:hAnsi="Times New Roman" w:cs="Times New Roman"/>
        </w:rPr>
      </w:pPr>
      <w:bookmarkStart w:id="4" w:name="_Toc5544"/>
      <w:bookmarkStart w:id="5" w:name="_Toc5921"/>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rPr>
        <w:t>发展基础</w:t>
      </w:r>
      <w:bookmarkEnd w:id="4"/>
      <w:bookmarkEnd w:id="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截至2024年底，全市企业国有资产与行政事业性国有资产总额203.10亿元（国有自然资源资产仅统计实物量，未核算价值量），同比增长13.42%；其中国有及国有控股企93家，同比增长5.68%。全市国有自然资源家底清晰、特色鲜明，土地、矿产、森林、湿地等资源禀赋优良，生态资源开发利用与保护协同推进，为国有资本布局拓展提供了坚实资源基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经调研梳理，全市2019-2025年政府投资项目、“十五五”规划项目中，可划转（交易）的资源资产初步估算规模达73.1亿元。其中，2019-2025年政府投资项目可注入资产29.33亿元，涵盖污水处理、园区建设、民生保障等经营性及可盘活非经营性资产；“十五五”规划项目可注入资产43.77亿元，重点包括现代产业园、生态环境建设、公共服务等领域基础设施项目，为国企壮大规模、拓展业务提供了充足的优质资源储备。</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line="560" w:lineRule="exact"/>
        <w:ind w:left="0" w:leftChars="0" w:firstLine="643" w:firstLineChars="200"/>
        <w:textAlignment w:val="auto"/>
        <w:rPr>
          <w:rFonts w:hint="default" w:ascii="Times New Roman" w:hAnsi="Times New Roman" w:cs="Times New Roman"/>
        </w:rPr>
      </w:pPr>
      <w:bookmarkStart w:id="6" w:name="_Toc18871"/>
      <w:bookmarkStart w:id="7" w:name="_Toc13657"/>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rPr>
        <w:t>核心问题</w:t>
      </w:r>
      <w:bookmarkEnd w:id="6"/>
      <w:bookmarkEnd w:id="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“十四五”期间国资国企改革发展取得一定成效，但对照高质量发展要求和区域发展态势，仍存在诸多短板和不足：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发展基础薄弱，经营压力突出：市属国企整体规模偏小，部分企业造血能力弱、竞争力不强；公有公司历史遗留问题多、收入单一，资产负债率居高不下，偿债能力不足，应收账款回收不畅、现金流紧张，维稳与融资压力叠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改革转型偏缓，核心能力不足：国企实体化转型滞后，未形成稳定营收与现金流；资产证券化水平低，资本运作能力薄弱，关键领域改革仅停留在建制度层面，深度和广度未达预期。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资产管理有短板，资源利用低效：行政事业性国有资产管理制度滞后，部分单位资产登记不规范、账实不符；资产共享机制不完善，存在局部闲置；国有自然资源分布零散，集聚效应不足，价值核算与转化能力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经营性资产不足，盈利能力偏低：市属国企经营性资产占比低、投入产出效率不高，公有公司持续亏损；业务布局集中于产业链低附加值环节，发展模式传统单一，“融、投、建、管、运、服”一体化能力不足，产业控制力和影响力较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人才队伍滞后，激励机制缺失：国企职工队伍专业素养</w:t>
      </w:r>
      <w:r>
        <w:rPr>
          <w:rFonts w:hint="eastAsia" w:ascii="Times New Roman" w:hAnsi="Times New Roman" w:cs="Times New Roman"/>
          <w:lang w:val="en-US" w:eastAsia="zh-CN"/>
        </w:rPr>
        <w:t>不足</w:t>
      </w:r>
      <w:r>
        <w:rPr>
          <w:rFonts w:hint="eastAsia" w:ascii="Times New Roman" w:hAnsi="Times New Roman" w:cs="Times New Roman"/>
        </w:rPr>
        <w:t>，资本运营、数字化转型等</w:t>
      </w:r>
      <w:r>
        <w:rPr>
          <w:rFonts w:hint="eastAsia" w:ascii="Times New Roman" w:hAnsi="Times New Roman" w:cs="Times New Roman"/>
          <w:lang w:val="en-US" w:eastAsia="zh-CN"/>
        </w:rPr>
        <w:t>人才</w:t>
      </w:r>
      <w:r>
        <w:rPr>
          <w:rFonts w:hint="eastAsia" w:ascii="Times New Roman" w:hAnsi="Times New Roman" w:cs="Times New Roman"/>
        </w:rPr>
        <w:t>紧缺，引育体系与发展需求脱节；差异化薪酬机制不完善，缺乏中长期激励，市场化选人用人与激励机制未完全建立，企业创新活力不足。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Times New Roman" w:hAnsi="Times New Roman" w:cs="Times New Roman"/>
        </w:rPr>
      </w:pPr>
      <w:bookmarkStart w:id="8" w:name="_Toc4855"/>
      <w:bookmarkStart w:id="9" w:name="_Toc8255"/>
      <w:r>
        <w:rPr>
          <w:rFonts w:hint="eastAsia" w:ascii="Times New Roman" w:hAnsi="Times New Roman" w:eastAsia="黑体" w:cs="Times New Roman"/>
          <w:bCs/>
          <w:kern w:val="44"/>
          <w:sz w:val="32"/>
          <w:szCs w:val="48"/>
          <w:lang w:val="en-US" w:eastAsia="zh-CN" w:bidi="ar-SA"/>
        </w:rPr>
        <w:t xml:space="preserve">第二章 </w:t>
      </w:r>
      <w:r>
        <w:rPr>
          <w:rFonts w:ascii="Times New Roman" w:hAnsi="Times New Roman" w:cs="Times New Roman"/>
        </w:rPr>
        <w:t>发展环境</w:t>
      </w:r>
      <w:bookmarkEnd w:id="8"/>
      <w:bookmarkEnd w:id="9"/>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line="560" w:lineRule="exact"/>
        <w:ind w:left="0" w:leftChars="0" w:firstLine="643" w:firstLineChars="200"/>
        <w:textAlignment w:val="auto"/>
        <w:rPr>
          <w:rFonts w:ascii="Times New Roman" w:hAnsi="Times New Roman" w:cs="Times New Roman"/>
        </w:rPr>
      </w:pPr>
      <w:bookmarkStart w:id="10" w:name="_Toc11422"/>
      <w:bookmarkStart w:id="11" w:name="_Toc29521"/>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rPr>
        <w:t>发展环境</w:t>
      </w:r>
      <w:bookmarkEnd w:id="10"/>
      <w:bookmarkEnd w:id="11"/>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面临的挑战</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核心挑战集中在四方面：一是市场化转型受阻，公司治理、用人、激励等关键环节改革精准度不足，决策流程冗长、风险规避导向明显，市场化经营机制未完全建立，短期考核导向抑制长期竞争力培育；二是产业布局偏传统，核心国企业务集中于传统领域，新兴产业布局滞后，资本运作形式单一、资产利用效率偏低，部分子企业经营薄弱、业务重叠，创新与研发投入不足，抗风险能力弱；三是债务风险高企，公有公司资产负债率长期高位运行，盈利能力下降导致偿债能力弱化，叠加金融监管收紧，融资难度与资金压力持续加剧；四是创新支撑薄弱，国企研发投入不足，数字化转型滞后，传统人才占比偏高，专业人才短缺制约创新发展与核心竞争力提升。</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发展机遇</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十五五”时期，恩平国资迎来多重机遇叠加的发展窗口期，一是国家宏观政策加持、湾区建设与“百千万工程”推进及地方百亿级国企平台部署，为国资改革发展提供坚实政策保障；二是深中通道通车提升区位优势，绿色经济、低空经济等产业培育见效，为国资拓展投资、培育新增长极拓宽空间；三是民生新需求催生业务新场景，数字化与科创机制完善、多元合作模式落地，为国资转型提供硬核支撑；四是大湾区战略全方位赋能，助力恩平国资深化开放合作、推动国有资本向高附加值领域集聚，提升资源配置效率。</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Times New Roman" w:hAnsi="Times New Roman" w:cs="Times New Roman"/>
        </w:rPr>
      </w:pPr>
      <w:bookmarkStart w:id="12" w:name="_Toc20067"/>
      <w:bookmarkStart w:id="13" w:name="_Toc20861"/>
      <w:r>
        <w:rPr>
          <w:rFonts w:hint="eastAsia" w:ascii="Times New Roman" w:hAnsi="Times New Roman" w:eastAsia="黑体" w:cs="Times New Roman"/>
          <w:bCs/>
          <w:kern w:val="44"/>
          <w:sz w:val="32"/>
          <w:szCs w:val="48"/>
          <w:lang w:val="en-US" w:eastAsia="zh-CN" w:bidi="ar-SA"/>
        </w:rPr>
        <w:t xml:space="preserve">第三章 </w:t>
      </w:r>
      <w:r>
        <w:rPr>
          <w:rFonts w:ascii="Times New Roman" w:hAnsi="Times New Roman" w:cs="Times New Roman"/>
        </w:rPr>
        <w:t>总体战略</w:t>
      </w:r>
      <w:bookmarkEnd w:id="12"/>
      <w:bookmarkEnd w:id="13"/>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line="560" w:lineRule="exact"/>
        <w:ind w:left="0" w:leftChars="0" w:firstLine="643" w:firstLineChars="200"/>
        <w:textAlignment w:val="auto"/>
        <w:rPr>
          <w:rFonts w:hint="default" w:ascii="Times New Roman" w:hAnsi="Times New Roman" w:cs="Times New Roman"/>
        </w:rPr>
      </w:pPr>
      <w:bookmarkStart w:id="14" w:name="_Toc14532"/>
      <w:bookmarkStart w:id="15" w:name="_Toc28692"/>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rPr>
        <w:t>战略导向</w:t>
      </w:r>
      <w:bookmarkEnd w:id="14"/>
      <w:bookmarkEnd w:id="1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以市场化、专业化、价值化为根本导向，以深化改革创新为动力，推动国有资本布局优化与体制机制重塑，核心实现三大转变：从资产管理向资本运营转变，从政策依赖向市场竞合转变，从规模扩张向质量效益转变，坚持走差异化、特色化发展道路，打造“湾区西翼特色国资”品牌，全面强化国有资本在区域经济社会发展中的支撑力、带动力和竞争力。</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line="560" w:lineRule="exact"/>
        <w:ind w:left="0" w:leftChars="0" w:firstLine="643" w:firstLineChars="200"/>
        <w:textAlignment w:val="auto"/>
        <w:rPr>
          <w:rFonts w:hint="default" w:ascii="Times New Roman" w:hAnsi="Times New Roman" w:cs="Times New Roman"/>
        </w:rPr>
      </w:pPr>
      <w:bookmarkStart w:id="16" w:name="_Toc15476"/>
      <w:bookmarkStart w:id="17" w:name="_Toc9659"/>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rPr>
        <w:t>战略目标</w:t>
      </w:r>
      <w:bookmarkEnd w:id="16"/>
      <w:bookmarkEnd w:id="1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lang w:eastAsia="zh-CN"/>
        </w:rPr>
      </w:pPr>
      <w:r>
        <w:rPr>
          <w:rFonts w:hint="eastAsia" w:ascii="Times New Roman" w:hAnsi="Times New Roman" w:cs="Times New Roman"/>
        </w:rPr>
        <w:t>到2030年，国有资本“基础设施支撑、战略产业引领、公共服务保障、存量风险化解”四大核心功能作用根本性增强；国资监管体系成熟定型，国有资本布局显著优化，形成“1+</w:t>
      </w:r>
      <w:r>
        <w:rPr>
          <w:rFonts w:hint="eastAsia" w:ascii="Times New Roman" w:hAnsi="Times New Roman" w:cs="Times New Roman"/>
          <w:lang w:val="en-US" w:eastAsia="zh-CN"/>
        </w:rPr>
        <w:t>3</w:t>
      </w:r>
      <w:r>
        <w:rPr>
          <w:rFonts w:hint="eastAsia" w:ascii="Times New Roman" w:hAnsi="Times New Roman" w:cs="Times New Roman"/>
        </w:rPr>
        <w:t>+N”架构下权责清晰、运转高效、协同有力的发展格局，使国资国企成为市委、市政府最可信赖的“战略抓手”与“稳定基石”</w:t>
      </w:r>
      <w:r>
        <w:rPr>
          <w:rFonts w:hint="eastAsia" w:ascii="Times New Roman" w:hAnsi="Times New Roman" w:cs="Times New Roman"/>
          <w:lang w:eastAsia="zh-CN"/>
        </w:rPr>
        <w:t>，打造粤港澳大湾区西翼独具特色的县级国资标杆。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Times New Roman" w:hAnsi="Times New Roman" w:cs="Times New Roma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Times New Roman" w:hAnsi="Times New Roman" w:cs="Times New Roman"/>
        </w:rPr>
      </w:pPr>
      <w:bookmarkStart w:id="18" w:name="_Toc12201"/>
      <w:bookmarkStart w:id="19" w:name="_Toc15844"/>
      <w:r>
        <w:rPr>
          <w:rFonts w:hint="eastAsia" w:ascii="Times New Roman" w:hAnsi="Times New Roman" w:eastAsia="黑体" w:cs="Times New Roman"/>
          <w:bCs/>
          <w:kern w:val="44"/>
          <w:sz w:val="32"/>
          <w:szCs w:val="48"/>
          <w:lang w:val="en-US" w:eastAsia="zh-CN" w:bidi="ar-SA"/>
        </w:rPr>
        <w:t xml:space="preserve">第四章 </w:t>
      </w:r>
      <w:r>
        <w:rPr>
          <w:rFonts w:ascii="Times New Roman" w:hAnsi="Times New Roman" w:cs="Times New Roman"/>
        </w:rPr>
        <w:t>重点发展举措</w:t>
      </w:r>
      <w:bookmarkEnd w:id="18"/>
      <w:bookmarkEnd w:id="19"/>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ascii="Times New Roman" w:hAnsi="Times New Roman" w:cs="Times New Roman"/>
        </w:rPr>
      </w:pPr>
      <w:bookmarkStart w:id="20" w:name="_Toc18169"/>
      <w:bookmarkStart w:id="21" w:name="_Toc16877"/>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rPr>
        <w:t>优化国资监管体系，提升监管效能</w:t>
      </w:r>
      <w:bookmarkEnd w:id="20"/>
      <w:bookmarkEnd w:id="21"/>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强化资产办核心职能</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做实出资人职责，推进经营性国有资产集中统一监管，将党政机关、事业单位所属企业国有资本全面纳入监管；健全资本运作、产权管理等基础制度，实现监管全覆盖；规范产权登记、转让、处置流程，强化国有资产保值增值监督；指导国企完善现代企业制度，参与重大战略与投资决策；建立创新容错机制，鼓励改革创新。</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完善信息化监管平台</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升级市属国企出资人监管信息系统，整合办事、人事、不动产、投融资、财务监督五大模块，实现企业财务、资产、投资、人力等信息网络化、数字化、实时化监管；推动监管流程线上化，实现从事前审批向事中事后监管转变，兼顾企业自主决策权与重点事项风险管控。</w:t>
      </w:r>
      <w:bookmarkStart w:id="22" w:name="_Toc109"/>
      <w:bookmarkStart w:id="23" w:name="_Toc21302"/>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ascii="Times New Roman" w:hAnsi="Times New Roman" w:cs="Times New Roman"/>
        </w:rPr>
      </w:pPr>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rPr>
        <w:t>调整国资产业布局，强化战略引领</w:t>
      </w:r>
      <w:bookmarkEnd w:id="22"/>
      <w:bookmarkEnd w:id="23"/>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推动传统产业转型，优化资源配置效率</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依托纺织服装、陶瓷建材等传统优势产业，发挥国有资本引导与投资作用，推动产业向绿色化、高端化、智能化转型；创新投融资模式，支持企业技术改造、设备更新与环保升级，提升产业链附加值；布局5G、工业互联网等新基建，推进数字赋能与绿色智造；降低政策性业务依赖，增强国企市场化盈利水平，实现存量优化与增量拓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布局战略性新兴产业，培育发展新动能</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聚焦低空经济、新能源、新材料、新一代电子信息等领域，实施产业基础再造与产业链提升工程，强化国有资本引领作用；以低空经济产业园为载体，引入无人机全产业链项目，构建研产运服一体化格局；深化数字与绿色双轮驱动，加快国企数字化转型，培育新兴产业集群，打造恩平经济新增长极。</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3．</w:t>
      </w:r>
      <w:r>
        <w:rPr>
          <w:rFonts w:hint="eastAsia" w:ascii="Times New Roman" w:hAnsi="Times New Roman" w:cs="Times New Roman"/>
          <w:lang w:val="en-US" w:eastAsia="zh-CN"/>
        </w:rPr>
        <w:t>做强特色优势产业，打造“湾区西翼特色国资”品牌</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依托恩平“中国温泉之乡”“地热国家地质公园”等金字招牌，以国有资本为引导，整合温泉地热资源，引入康养、旅游等业态，打造“温泉+康养+文旅”产业链，培育具有区域影响力的康养文旅品牌。深耕富硒农业资源，以“</w:t>
      </w:r>
      <w:r>
        <w:rPr>
          <w:rFonts w:hint="eastAsia" w:ascii="Times New Roman" w:hAnsi="Times New Roman" w:cs="Times New Roman"/>
          <w:lang w:val="en-US" w:eastAsia="zh-CN"/>
        </w:rPr>
        <w:t>恩平优品</w:t>
      </w:r>
      <w:r>
        <w:rPr>
          <w:rFonts w:hint="eastAsia" w:ascii="Times New Roman" w:hAnsi="Times New Roman" w:cs="Times New Roman"/>
        </w:rPr>
        <w:t>”品牌为核心，推动特色农产品标准化、品牌化、规模化发展。开发森林、湿地等生态资源，积极发展林业碳汇、红树林碳汇等生态产品交易，探索生态产品价值实现机制，将“绿水青山”转化为“金山银山”。</w:t>
      </w:r>
      <w:bookmarkStart w:id="24" w:name="_Toc8023"/>
      <w:bookmarkStart w:id="25" w:name="_Toc32351"/>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ascii="Times New Roman" w:hAnsi="Times New Roman" w:cs="Times New Roman"/>
        </w:rPr>
      </w:pPr>
      <w:r>
        <w:rPr>
          <w:rFonts w:hint="eastAsia" w:ascii="Times New Roman" w:hAnsi="Times New Roman" w:eastAsia="楷体_GB2312" w:cs="Times New Roman"/>
          <w:b/>
          <w:bCs/>
          <w:kern w:val="0"/>
          <w:sz w:val="32"/>
          <w:szCs w:val="36"/>
          <w:lang w:val="en-US" w:eastAsia="zh-CN" w:bidi="ar-SA"/>
          <w14:ligatures w14:val="standardContextual"/>
        </w:rPr>
        <w:t>三、</w:t>
      </w:r>
      <w:r>
        <w:rPr>
          <w:rFonts w:ascii="Times New Roman" w:hAnsi="Times New Roman" w:cs="Times New Roman"/>
        </w:rPr>
        <w:t>强化国资运营管理，做优资产规模效益</w:t>
      </w:r>
      <w:bookmarkEnd w:id="24"/>
      <w:bookmarkEnd w:id="25"/>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激活低效无效资产</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全面梳理存量低效、无效资产，通过统筹整合、业务注入、收益提升、改造更新、置换优化实现资源资产化、资产资本化；搭建资产共享平台，统一运营降本增效；为低效资产注入经营性业务，创新盈利模式；改造闲置资产、置换优质载体，提升资产利用效率与价值。</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高效开发国有资源</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坚持全域国资经营，系统开发自然资源、固定资产、城市更新、特许经营等资源，推动资源资产化、资产资本化、资本证券化。运营闲置楼宇、打造研学基地、拓展智慧停车与广告业务、开发交通枢纽土地、构建康养养老体系；构建供水发电及水权交易模式，打造特色农业产业链，推进绿色矿产开发，发展碳汇与生态旅游，形成温泉康养与文体文旅融合体系；参与老旧小区及地下空间开发，整合特许经营权，培育稳定现金流。</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3．</w:t>
      </w:r>
      <w:r>
        <w:rPr>
          <w:rFonts w:ascii="Times New Roman" w:hAnsi="Times New Roman" w:cs="Times New Roman"/>
        </w:rPr>
        <w:t>推进资源资产划转整合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依法依规、分类推进优质经营性资产划转注入国企；统一整合党政机关、事业单位可经营性资产，通过无偿划转或协议转让明晰产权，做大国企资产规模，夯实融资基础。</w:t>
      </w:r>
      <w:bookmarkStart w:id="26" w:name="_Toc17530"/>
      <w:bookmarkStart w:id="27" w:name="_Toc31304"/>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ascii="Times New Roman" w:hAnsi="Times New Roman" w:cs="Times New Roman"/>
        </w:rPr>
      </w:pPr>
      <w:r>
        <w:rPr>
          <w:rFonts w:hint="eastAsia" w:ascii="Times New Roman" w:hAnsi="Times New Roman" w:eastAsia="楷体_GB2312" w:cs="Times New Roman"/>
          <w:b/>
          <w:bCs/>
          <w:kern w:val="0"/>
          <w:sz w:val="32"/>
          <w:szCs w:val="36"/>
          <w:lang w:val="en-US" w:eastAsia="zh-CN" w:bidi="ar-SA"/>
          <w14:ligatures w14:val="standardContextual"/>
        </w:rPr>
        <w:t>四、</w:t>
      </w:r>
      <w:r>
        <w:rPr>
          <w:rFonts w:ascii="Times New Roman" w:hAnsi="Times New Roman" w:cs="Times New Roman"/>
        </w:rPr>
        <w:t>创新体制机制，深化国资国企改革</w:t>
      </w:r>
      <w:bookmarkEnd w:id="26"/>
      <w:bookmarkEnd w:id="27"/>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完善公司法人治理结构</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坚持“两个一以贯之”，将党建写入公司章程，明确党组织权责，落实“三重一大”决策制度；加强董事会建设，落实重大决策、选人用人等职权，建立外部董事制度；“强化内部监督机制，完善履职考核。</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推行经理层任期制和契约化管理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lang w:eastAsia="zh-CN"/>
        </w:rPr>
      </w:pPr>
      <w:r>
        <w:rPr>
          <w:rFonts w:hint="eastAsia" w:ascii="Times New Roman" w:hAnsi="Times New Roman" w:cs="Times New Roman"/>
        </w:rPr>
        <w:t>建立分类分层管理体系，全面实施经理层任期制与契约化管理；重大任务企业以组织任命为主、市场化选聘为辅，竞争类企业扩大市场化选聘，推行职业经理人制度；按照市场化选聘、契约化管理、差异化薪酬、市场化退出原则，二级企业试点、三级企业全面推开</w:t>
      </w:r>
      <w:r>
        <w:rPr>
          <w:rFonts w:hint="eastAsia" w:ascii="Times New Roman" w:hAnsi="Times New Roman" w:cs="Times New Roman"/>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3．</w:t>
      </w:r>
      <w:r>
        <w:rPr>
          <w:rFonts w:ascii="Times New Roman" w:hAnsi="Times New Roman" w:cs="Times New Roman"/>
        </w:rPr>
        <w:t>健全市场化用工制度</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打破体制与行政级别限制，建立市场化选聘为主、选调为辅的用人机制；规范劳动关系，实行以劳动合同与岗位管理为核心的用工制度；全员公开招聘，优化人员结构，实现人员能进能出、优胜劣汰。</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4．</w:t>
      </w:r>
      <w:r>
        <w:rPr>
          <w:rFonts w:ascii="Times New Roman" w:hAnsi="Times New Roman" w:cs="Times New Roman"/>
        </w:rPr>
        <w:t>优化薪酬分配与激励机制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实行工资总额分类管理，效益工资与经营业绩、个人能力挂钩；规范管理人员薪酬，对组织任命人员与职业经理人实行差异化薪酬；探索员工持股、项目跟投、虚拟股权等中长期激励，向关键岗位与一线人才倾斜，实现收入能增能减。</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line="560" w:lineRule="exact"/>
        <w:ind w:left="0" w:leftChars="0" w:firstLine="643" w:firstLineChars="200"/>
        <w:textAlignment w:val="auto"/>
        <w:rPr>
          <w:rFonts w:ascii="Times New Roman" w:hAnsi="Times New Roman" w:cs="Times New Roman"/>
        </w:rPr>
      </w:pPr>
      <w:bookmarkStart w:id="28" w:name="_Toc25694"/>
      <w:bookmarkStart w:id="29" w:name="_Toc32529"/>
      <w:r>
        <w:rPr>
          <w:rFonts w:hint="eastAsia" w:ascii="Times New Roman" w:hAnsi="Times New Roman" w:eastAsia="楷体_GB2312" w:cs="Times New Roman"/>
          <w:b/>
          <w:bCs/>
          <w:kern w:val="0"/>
          <w:sz w:val="32"/>
          <w:szCs w:val="36"/>
          <w:lang w:val="en-US" w:eastAsia="zh-CN" w:bidi="ar-SA"/>
          <w14:ligatures w14:val="standardContextual"/>
        </w:rPr>
        <w:t>五、</w:t>
      </w:r>
      <w:r>
        <w:rPr>
          <w:rFonts w:ascii="Times New Roman" w:hAnsi="Times New Roman" w:cs="Times New Roman"/>
        </w:rPr>
        <w:t>落实人才强企，激活国企发展活力</w:t>
      </w:r>
      <w:bookmarkEnd w:id="28"/>
      <w:bookmarkEnd w:id="29"/>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打造四大核心人才队伍</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lang w:eastAsia="zh-CN"/>
        </w:rPr>
      </w:pPr>
      <w:r>
        <w:rPr>
          <w:rFonts w:hint="eastAsia" w:ascii="Times New Roman" w:hAnsi="Times New Roman" w:cs="Times New Roman"/>
          <w:lang w:eastAsia="zh-CN"/>
        </w:rPr>
        <w:t>构建适配国资国企发展的管理人才队伍、产业经营人才队伍、复合型投融资人才队伍、数字化信息化人才队伍。优化机构岗位设置，控制人才总量，促进人才合理流动，填补岗位空缺，减少政企兼职，优化人才年龄与素质结构。</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拓宽人才引育渠道</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建立科级干部、高级职称人员信息库，开展系统内优秀人才推荐；面向江门、广东乃至全国引进管理、金融、国际化等紧缺人才；从知名高校引进优秀毕业生，重点吸纳资产运营、投融资、项目管理等专业人才。</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3．</w:t>
      </w:r>
      <w:r>
        <w:rPr>
          <w:rFonts w:ascii="Times New Roman" w:hAnsi="Times New Roman" w:cs="Times New Roman"/>
        </w:rPr>
        <w:t>健全人才培养与交流机制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打造国企人才培训平台，与知名高校、培训机构合作，开设数字经济、资本运作、港口建设等专项课程。建立人才互派机制，与长三角、粤港澳大湾区先进地区开展交流挂职，学习成熟运营管理经验。引入“候鸟专家”“周末工程师”等柔性引才模式，弥补高端人才短板。</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4．</w:t>
      </w:r>
      <w:r>
        <w:rPr>
          <w:rFonts w:ascii="Times New Roman" w:hAnsi="Times New Roman" w:cs="Times New Roman"/>
        </w:rPr>
        <w:t>完善人才评价与激励机制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构建以业绩为导向的考核评价体系，突出实干实绩，强化考核结果在薪酬分配、职务晋升、评优评先中的刚性运用；完善市场化薪酬分配机制，对关键岗位、核心骨干实行差异化激励，激发人才创新创造活力。</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Times New Roman" w:hAnsi="Times New Roman" w:cs="Times New Roman"/>
        </w:rPr>
      </w:pPr>
      <w:bookmarkStart w:id="30" w:name="_Toc29980"/>
      <w:bookmarkStart w:id="31" w:name="_Toc22519"/>
      <w:r>
        <w:rPr>
          <w:rFonts w:hint="eastAsia" w:ascii="Times New Roman" w:hAnsi="Times New Roman" w:eastAsia="黑体" w:cs="Times New Roman"/>
          <w:bCs/>
          <w:kern w:val="44"/>
          <w:sz w:val="32"/>
          <w:szCs w:val="48"/>
          <w:lang w:val="en-US" w:eastAsia="zh-CN" w:bidi="ar-SA"/>
        </w:rPr>
        <w:t xml:space="preserve">第五章 </w:t>
      </w:r>
      <w:r>
        <w:rPr>
          <w:rFonts w:ascii="Times New Roman" w:hAnsi="Times New Roman" w:cs="Times New Roman"/>
        </w:rPr>
        <w:t>国企发展导向</w:t>
      </w:r>
      <w:bookmarkEnd w:id="30"/>
      <w:bookmarkEnd w:id="31"/>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line="560" w:lineRule="exact"/>
        <w:ind w:left="0" w:leftChars="0" w:firstLine="643" w:firstLineChars="200"/>
        <w:textAlignment w:val="auto"/>
        <w:rPr>
          <w:rFonts w:hint="default" w:ascii="Times New Roman" w:hAnsi="Times New Roman" w:cs="Times New Roman"/>
        </w:rPr>
      </w:pPr>
      <w:bookmarkStart w:id="32" w:name="_Toc31731"/>
      <w:bookmarkStart w:id="33" w:name="_Toc16336"/>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rPr>
        <w:t>优化国企布局结构</w:t>
      </w:r>
      <w:bookmarkEnd w:id="32"/>
      <w:bookmarkEnd w:id="3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以市场化转型为主线，以资源整合、功能重塑为抓手，构建功能互补、风险隔离、协同高效的“1+</w:t>
      </w:r>
      <w:r>
        <w:rPr>
          <w:rFonts w:hint="eastAsia" w:ascii="Times New Roman" w:hAnsi="Times New Roman" w:cs="Times New Roman"/>
          <w:lang w:val="en-US" w:eastAsia="zh-CN"/>
        </w:rPr>
        <w:t>3</w:t>
      </w:r>
      <w:r>
        <w:rPr>
          <w:rFonts w:hint="eastAsia" w:ascii="Times New Roman" w:hAnsi="Times New Roman" w:cs="Times New Roman"/>
        </w:rPr>
        <w:t>+N”现代化国有资本布局体系，推动资源要素向关键领域、优势产业集中，实现国有资本布局集约化、专业化、高端化。到2030年，全面建成权责清晰、运转顺畅的国企主体架构，形成北晟集团为核心、两大功能平台为支撑、多个市场化子平台为增长极的发展格局，实现国有资本高效配置和保值增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“1”——一个核心平台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北晟集团：打造成为全市国资系统的战略核心与资本运营平台。其核心任务是开展市场化融资、实施战略性投资、培育新兴产业，是驱动城市能级提升与产业转型升级的核心引擎。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w:t>
      </w:r>
      <w:r>
        <w:rPr>
          <w:rFonts w:hint="eastAsia" w:ascii="Times New Roman" w:hAnsi="Times New Roman" w:cs="Times New Roman"/>
          <w:lang w:val="en-US" w:eastAsia="zh-CN"/>
        </w:rPr>
        <w:t>3</w:t>
      </w:r>
      <w:r>
        <w:rPr>
          <w:rFonts w:hint="eastAsia" w:ascii="Times New Roman" w:hAnsi="Times New Roman" w:cs="Times New Roman"/>
        </w:rPr>
        <w:t>”——</w:t>
      </w:r>
      <w:r>
        <w:rPr>
          <w:rFonts w:hint="eastAsia" w:ascii="Times New Roman" w:hAnsi="Times New Roman" w:cs="Times New Roman"/>
          <w:lang w:val="en-US" w:eastAsia="zh-CN"/>
        </w:rPr>
        <w:t>三</w:t>
      </w:r>
      <w:r>
        <w:rPr>
          <w:rFonts w:hint="eastAsia" w:ascii="Times New Roman" w:hAnsi="Times New Roman" w:cs="Times New Roman"/>
        </w:rPr>
        <w:t>大功能性平台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公有公司：聚焦历史遗留问题处置、城市公共交通运营、存量资产盘活三大职能。其核心使命是为全市国资减负，通过化解风险、保障基础民生、激活沉睡资源，为整体战略推进创造稳定环境。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cs="Times New Roman"/>
        </w:rPr>
      </w:pPr>
      <w:r>
        <w:rPr>
          <w:rFonts w:hint="eastAsia" w:ascii="Times New Roman" w:hAnsi="Times New Roman" w:cs="Times New Roman"/>
          <w:lang w:val="en-US" w:eastAsia="zh-CN"/>
        </w:rPr>
        <w:t>新园区公司</w:t>
      </w:r>
      <w:r>
        <w:rPr>
          <w:rFonts w:hint="eastAsia" w:ascii="Times New Roman" w:hAnsi="Times New Roman" w:cs="Times New Roman"/>
        </w:rPr>
        <w:t>：由恩平市产业园区管理委员会履行出资人职责并实施管理，市资产办履行国有资产监督指导职能。现有园区公司的股权及经营性资产整体划转至新园区公司。</w:t>
      </w:r>
      <w:r>
        <w:rPr>
          <w:rFonts w:hint="eastAsia" w:ascii="Times New Roman" w:hAnsi="Times New Roman" w:cs="Times New Roman"/>
          <w:lang w:val="en-US" w:eastAsia="zh-CN"/>
        </w:rPr>
        <w:t>新园区公司</w:t>
      </w:r>
      <w:r>
        <w:rPr>
          <w:rFonts w:hint="eastAsia" w:ascii="Times New Roman" w:hAnsi="Times New Roman" w:cs="Times New Roman"/>
        </w:rPr>
        <w:t>作为全市产业园区统一的市场化运营主体，统筹承担产业园区的开发建设、运营管理与产业服务，实现“管委会+公司”专业化协同运作模式。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b w:val="0"/>
          <w:bCs/>
          <w:color w:val="auto"/>
          <w:spacing w:val="0"/>
          <w:kern w:val="21"/>
          <w:sz w:val="32"/>
          <w:szCs w:val="32"/>
          <w:highlight w:val="none"/>
          <w:lang w:val="en-US" w:eastAsia="zh-CN" w:bidi="ar-SA"/>
        </w:rPr>
      </w:pPr>
      <w:r>
        <w:rPr>
          <w:rFonts w:hint="eastAsia" w:ascii="Times New Roman" w:hAnsi="Times New Roman" w:cs="Times New Roman"/>
          <w:b w:val="0"/>
          <w:bCs/>
          <w:color w:val="auto"/>
          <w:spacing w:val="0"/>
          <w:kern w:val="21"/>
          <w:sz w:val="32"/>
          <w:szCs w:val="32"/>
          <w:highlight w:val="none"/>
          <w:lang w:val="en-US" w:eastAsia="zh-CN" w:bidi="ar-SA"/>
        </w:rPr>
        <w:t>恩平市</w:t>
      </w:r>
      <w:r>
        <w:rPr>
          <w:rFonts w:hint="eastAsia" w:ascii="Times New Roman" w:hAnsi="Times New Roman" w:eastAsia="仿宋_GB2312" w:cs="Times New Roman"/>
          <w:b w:val="0"/>
          <w:bCs/>
          <w:color w:val="auto"/>
          <w:spacing w:val="0"/>
          <w:kern w:val="21"/>
          <w:sz w:val="32"/>
          <w:szCs w:val="32"/>
          <w:highlight w:val="none"/>
          <w:lang w:val="en-US" w:eastAsia="zh-CN" w:bidi="ar-SA"/>
        </w:rPr>
        <w:t>恩富</w:t>
      </w:r>
      <w:r>
        <w:rPr>
          <w:rFonts w:hint="eastAsia" w:ascii="Times New Roman" w:hAnsi="Times New Roman" w:cs="Times New Roman"/>
          <w:b w:val="0"/>
          <w:bCs/>
          <w:color w:val="auto"/>
          <w:spacing w:val="0"/>
          <w:kern w:val="21"/>
          <w:sz w:val="32"/>
          <w:szCs w:val="32"/>
          <w:highlight w:val="none"/>
          <w:lang w:val="en-US" w:eastAsia="zh-CN" w:bidi="ar-SA"/>
        </w:rPr>
        <w:t>贸易有限</w:t>
      </w:r>
      <w:r>
        <w:rPr>
          <w:rFonts w:hint="eastAsia" w:ascii="Times New Roman" w:hAnsi="Times New Roman" w:eastAsia="仿宋_GB2312" w:cs="Times New Roman"/>
          <w:b w:val="0"/>
          <w:bCs/>
          <w:color w:val="auto"/>
          <w:spacing w:val="0"/>
          <w:kern w:val="21"/>
          <w:sz w:val="32"/>
          <w:szCs w:val="32"/>
          <w:highlight w:val="none"/>
          <w:lang w:val="en-US" w:eastAsia="zh-CN" w:bidi="ar-SA"/>
        </w:rPr>
        <w:t>公司：市属大宗商品供应链综合服务平台，承担全市战略性物资的集中采购、供应链服务及区域资源整合运营职能，通过市场化运作保障产业链供应链安全、赋能实体产业、盘活特色资源。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hint="eastAsia" w:ascii="Times New Roman" w:hAnsi="Times New Roman" w:cs="Times New Roman"/>
        </w:rPr>
        <w:t>“N”——多个专业化子平台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作为面向市场竞争的业务增长引擎。初期以北晟集团旗下城市运营、民生服务、乡村振兴等业务板块为基础，培育形成主业清晰、竞争力强的专业化子公司。在“十五五”期间，对具备独立发展条件的业务板块，可推动其逐步成为与北晟集团平行管理的专业化平台，进一步激发市场活力和创新动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上述各平台的功能定位、发展目标及重点任务，在本章进行了纲领性阐述。北晟集团作为全市国资核心平台、公有公司作为重要功能性平台，其详细发展规划分别参见附件一、附件二。</w:t>
      </w:r>
    </w:p>
    <w:p>
      <w:pPr>
        <w:spacing w:line="240" w:lineRule="auto"/>
        <w:ind w:firstLine="0" w:firstLineChars="0"/>
        <w:jc w:val="center"/>
        <w:rPr>
          <w:rFonts w:ascii="Times New Roman" w:hAnsi="Times New Roman" w:cs="Times New Roman"/>
        </w:rPr>
      </w:pPr>
      <w:r>
        <w:drawing>
          <wp:inline distT="0" distB="0" distL="114300" distR="114300">
            <wp:extent cx="5620385" cy="5724525"/>
            <wp:effectExtent l="0" t="0" r="18415" b="9525"/>
            <wp:docPr id="1"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8"/>
                    <pic:cNvPicPr>
                      <a:picLocks noChangeAspect="1"/>
                    </pic:cNvPicPr>
                  </pic:nvPicPr>
                  <pic:blipFill>
                    <a:blip r:embed="rId17"/>
                    <a:stretch>
                      <a:fillRect/>
                    </a:stretch>
                  </pic:blipFill>
                  <pic:spPr>
                    <a:xfrm>
                      <a:off x="0" y="0"/>
                      <a:ext cx="5620385" cy="5724525"/>
                    </a:xfrm>
                    <a:prstGeom prst="rect">
                      <a:avLst/>
                    </a:prstGeom>
                  </pic:spPr>
                </pic:pic>
              </a:graphicData>
            </a:graphic>
          </wp:inline>
        </w:drawing>
      </w:r>
    </w:p>
    <w:p>
      <w:pPr>
        <w:pStyle w:val="11"/>
        <w:ind w:firstLine="480"/>
        <w:rPr>
          <w:rFonts w:ascii="Times New Roman" w:hAnsi="Times New Roman" w:cs="Times New Roman"/>
        </w:rPr>
      </w:pPr>
      <w:r>
        <w:rPr>
          <w:rFonts w:ascii="Times New Roman" w:hAnsi="Times New Roman" w:cs="Times New Roman"/>
        </w:rPr>
        <w:t>图</w:t>
      </w:r>
      <w:r>
        <w:rPr>
          <w:rFonts w:hint="eastAsia" w:ascii="Times New Roman" w:hAnsi="Times New Roman" w:cs="Times New Roman"/>
        </w:rPr>
        <w:t>1规划国资体系架构示意图</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line="560" w:lineRule="exact"/>
        <w:ind w:left="0" w:leftChars="0" w:firstLine="643" w:firstLineChars="200"/>
        <w:textAlignment w:val="auto"/>
        <w:rPr>
          <w:rFonts w:hint="default" w:ascii="Times New Roman" w:hAnsi="Times New Roman" w:cs="Times New Roman"/>
        </w:rPr>
      </w:pPr>
      <w:bookmarkStart w:id="34" w:name="_Toc2549"/>
      <w:bookmarkStart w:id="35" w:name="_Toc19212"/>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rPr>
        <w:t>北晟集团有限公司</w:t>
      </w:r>
      <w:bookmarkEnd w:id="34"/>
      <w:bookmarkEnd w:id="35"/>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功能定位</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粤港澳大湾区西岸领先的县级国有资本投资运营平台，核心定位为“国有资本投资运营商、城市综合运营服务商、乡村振兴综合服务商”，深度服务“融湾建设”和“百千万工程”，是驱动恩平城市能级提升、产业转型升级、乡村全面振兴的核心引擎。</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发展路径</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基于集团“国有资本投资运营商、城市综合运营服务商、乡村振兴综合服务商”三大功能定位，北晟集团业务布局围绕城市投资建设运营、民生服务、乡村振兴三大板块展开。</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2026年：全面完成内部业务与资产战略性重组，建立完善的现代企业制度与市场化经营框架，为转型发展夯实治理基础。</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2027–2029年：推动各业务板块实现市场化、专业化运营，核心商业模式成熟并形成稳定现金流，数字化赋能与创新人才机制成效显现，集团整体规模、效益与竞争力大幅提升。</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2030年：全面转向高质量发展，强化资本运作与精益管理，塑造具有区域影响力的企业品牌，实现从规模扩张到价值创造的跨越，可持续发展能力全面巩固。</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3．</w:t>
      </w:r>
      <w:r>
        <w:rPr>
          <w:rFonts w:ascii="Times New Roman" w:hAnsi="Times New Roman" w:cs="Times New Roman"/>
        </w:rPr>
        <w:t>发展目标</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到2030年，合并资产总额突破</w:t>
      </w:r>
      <w:r>
        <w:rPr>
          <w:rFonts w:hint="eastAsia" w:ascii="Times New Roman" w:hAnsi="Times New Roman" w:cs="Times New Roman"/>
          <w:highlight w:val="none"/>
          <w:lang w:val="en-US" w:eastAsia="zh-CN"/>
        </w:rPr>
        <w:t>128</w:t>
      </w:r>
      <w:r>
        <w:rPr>
          <w:rFonts w:hint="eastAsia" w:ascii="Times New Roman" w:hAnsi="Times New Roman" w:cs="Times New Roman"/>
          <w:highlight w:val="none"/>
        </w:rPr>
        <w:t>亿元，营业收入实现倍增，利润总额显著增长，主体信用评级提升至AA+；城市投资建设运营、民生服务、乡村振兴三大板块协同发展；培育1-2家核心子企业具备AA-及以上独立信用评级潜力。</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4．</w:t>
      </w:r>
      <w:r>
        <w:rPr>
          <w:rFonts w:ascii="Times New Roman" w:hAnsi="Times New Roman" w:cs="Times New Roman"/>
        </w:rPr>
        <w:t>重点任务</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做强城市投资建设运营板块：聚焦基础设施、城市更新、人居环境整治等领域，强化“投、融、建、管、运”一体化能力。在高质量完成政府代建任务的同时，大力拓展市场化工程项目，并向建材供应链、全过程咨询、资产运营维护等价值链上下游延伸。</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做优民生服务板块：围绕城市品质提升与居民需求升级，统筹发展物业管理、市政服务、文体运营、社区商业等多元业务，构建专业化、品牌化的民生服务体系，提升服务效能与市场竞争力。</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做好乡村振兴板块：以市场化与产业化为导向，构建现代农业产业体系。深化“恩情大地”品牌赋能，推动特色农产品加工、乡村文旅、康养休闲等业态融合发展，打造国企服务乡村振兴的示范平台。</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强化资本运作与培育新动能：提升集团资本运作能力，创新融资模式，保障发展资金。积极布局并培育低空经济、绿色碳汇等战略性新兴业务，设立或参与相关产业基金，为长远发展注入新动力。</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强化平台协同，共拓存量资产价值：积极探索与公有公司的协同模式，共同参与其持有的具有开发潜力的存量资产（如恩平港区、闲置大型物业等）的盘活与再开发。北晟集团可发挥其投融资、建设管理和产业导入优势，通过项目合资、委托运营等多种方式，将闲置低效资产转化为具有持续收益的经营性资产。</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line="560" w:lineRule="exact"/>
        <w:ind w:left="0" w:leftChars="0" w:firstLine="643" w:firstLineChars="200"/>
        <w:textAlignment w:val="auto"/>
        <w:rPr>
          <w:rFonts w:hint="default" w:ascii="Times New Roman" w:hAnsi="Times New Roman" w:cs="Times New Roman"/>
        </w:rPr>
      </w:pPr>
      <w:bookmarkStart w:id="36" w:name="_Toc8204"/>
      <w:bookmarkStart w:id="37" w:name="_Toc243"/>
      <w:r>
        <w:rPr>
          <w:rFonts w:hint="eastAsia" w:ascii="Times New Roman" w:hAnsi="Times New Roman" w:eastAsia="楷体_GB2312" w:cs="Times New Roman"/>
          <w:b/>
          <w:bCs/>
          <w:kern w:val="0"/>
          <w:sz w:val="32"/>
          <w:szCs w:val="36"/>
          <w:lang w:val="en-US" w:eastAsia="zh-CN" w:bidi="ar-SA"/>
          <w14:ligatures w14:val="standardContextual"/>
        </w:rPr>
        <w:t>三、</w:t>
      </w:r>
      <w:r>
        <w:rPr>
          <w:rFonts w:ascii="Times New Roman" w:hAnsi="Times New Roman" w:cs="Times New Roman"/>
        </w:rPr>
        <w:t>公有公司</w:t>
      </w:r>
      <w:bookmarkEnd w:id="36"/>
      <w:bookmarkEnd w:id="37"/>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功能定位</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历史遗留问题处置平台、城市公共交通运营商、低效存量资产盘活平台，以“化解风险、保障民生、激活价值”为主线，聚焦托管企业出清、职工安置、债务化解，稳健运营公交客运业务，系统盘活存量资产，为全市国资体系“减负健体”。</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发展路径</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2026-2027年：梳理历史遗留问题并制定“一企一策”处置方案，攻坚重点难点；优化公交线网、更新车辆，试点延伸业务；建立存量资产台账，启动1-2个标杆盘活项目，资产负债率控制在175%内。</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2028-2029年：实质化解历史遗留问题，出清50%以上僵尸企业；提升公交智能化、绿色化水平，固化农村客货邮服务模式；健全资产盘活机制，形成稳定收益，搭建资产数字化管理框架。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2030年：历史遗留问题化解率超80%，成熟公交“公益+市场”模式；资产盘活成为核心收入来源，资产负债率力争降至165%以下，实现自主平衡发展，夯实转型基础。</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3．</w:t>
      </w:r>
      <w:r>
        <w:rPr>
          <w:rFonts w:ascii="Times New Roman" w:hAnsi="Times New Roman" w:cs="Times New Roman"/>
        </w:rPr>
        <w:t>发展目标</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到2030年，妥善安置职工超1600人，解决拖欠款项超6616万元；公交线路覆盖率提升至90%，新能源车辆占比大幅提高，延伸业务年增收200-300万元；低效存量资产盘活率和收益贡献度显著提升，财务状况根本性改善，成为国资系统稳健运行的“稳定器”。</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4．</w:t>
      </w:r>
      <w:r>
        <w:rPr>
          <w:rFonts w:ascii="Times New Roman" w:hAnsi="Times New Roman" w:cs="Times New Roman"/>
        </w:rPr>
        <w:t>重点任务</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坚决攻坚历史遗留问题：构建专业化、法治化处置体系，通过清算注销、破产重整、产权转让等方式，完成托管僵尸企业及劣势企业的市场化出清。核心是妥善解决职工安置与债务清偿问题，彻底化解历史包袱。</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持续优化公交客运服务：在保障基础民生出行的前提下，推进公交业务提质增效。优化线网布局，加快车辆绿色智能更新，推广应用智能调度系统。积极拓展定制公交、校园专线、农村客货邮融合等市场化服务，增强自我造血能力。</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高效盘活低效存量资产：对划入及托管的土地、房产、码头等资产进行系统性策划与市场化运作。通过自主开发、合作运营、资产证券化等方式，挖掘资产价值，形成稳定现金流，反哺公司运营与风险化解。</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推动协同开发，提升资产盘活效能：对于权属清晰、具备较大开发价值的资产（如恩平港、交通枢纽周边土地等），不再局限于自主出租或简单处置。应主动引入北晟集团作为战略合作方，借助其强大的资本运作、项目建设和产业资源链接能力，共同规划、合作开发，推动资产向更高价值业态转型，共享开发收益与运营成果。</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line="560" w:lineRule="exact"/>
        <w:ind w:left="0" w:leftChars="0" w:firstLine="643" w:firstLineChars="200"/>
        <w:textAlignment w:val="auto"/>
        <w:rPr>
          <w:rFonts w:hint="default" w:ascii="Times New Roman" w:hAnsi="Times New Roman" w:cs="Times New Roman"/>
        </w:rPr>
      </w:pPr>
      <w:bookmarkStart w:id="38" w:name="_Toc26206"/>
      <w:bookmarkStart w:id="39" w:name="_Toc14494"/>
      <w:r>
        <w:rPr>
          <w:rFonts w:hint="eastAsia" w:ascii="Times New Roman" w:hAnsi="Times New Roman" w:eastAsia="楷体_GB2312" w:cs="Times New Roman"/>
          <w:b/>
          <w:bCs/>
          <w:kern w:val="0"/>
          <w:sz w:val="32"/>
          <w:szCs w:val="36"/>
          <w:lang w:val="en-US" w:eastAsia="zh-CN" w:bidi="ar-SA"/>
          <w14:ligatures w14:val="standardContextual"/>
        </w:rPr>
        <w:t>四、</w:t>
      </w:r>
      <w:r>
        <w:rPr>
          <w:rFonts w:hint="eastAsia" w:ascii="Times New Roman" w:hAnsi="Times New Roman" w:cs="Times New Roman"/>
          <w:lang w:val="en-US" w:eastAsia="zh-CN"/>
        </w:rPr>
        <w:t>新园区公司</w:t>
      </w:r>
      <w:bookmarkEnd w:id="38"/>
      <w:bookmarkEnd w:id="39"/>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功能定位</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在</w:t>
      </w:r>
      <w:r>
        <w:rPr>
          <w:rFonts w:hint="eastAsia" w:ascii="Times New Roman" w:hAnsi="Times New Roman" w:cs="Times New Roman"/>
          <w:lang w:eastAsia="zh-CN"/>
        </w:rPr>
        <w:t>“</w:t>
      </w:r>
      <w:r>
        <w:rPr>
          <w:rFonts w:hint="eastAsia" w:ascii="Times New Roman" w:hAnsi="Times New Roman" w:cs="Times New Roman"/>
        </w:rPr>
        <w:t>管委会+公司</w:t>
      </w:r>
      <w:r>
        <w:rPr>
          <w:rFonts w:hint="eastAsia" w:ascii="Times New Roman" w:hAnsi="Times New Roman" w:cs="Times New Roman"/>
          <w:lang w:eastAsia="zh-CN"/>
        </w:rPr>
        <w:t>”</w:t>
      </w:r>
      <w:r>
        <w:rPr>
          <w:rFonts w:hint="eastAsia" w:ascii="Times New Roman" w:hAnsi="Times New Roman" w:cs="Times New Roman"/>
        </w:rPr>
        <w:t>模式下，作为全市产业园区专业化开发运营主体，统筹承担产业园区开发建设、资产运营、产业服务、产业投资一体化职能，打造“空间供应商、服务集成商、产业培育商”三位一体的园区综合运营商，是恩平构建“3+1”现代产业体系的核心实施平台。现有旧园区公司的全部股权及经营性资产整体划入新园区公司，实现“一个主体、统一运营”。</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发展路径</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ascii="Times New Roman" w:hAnsi="Times New Roman" w:cs="Times New Roman"/>
        </w:rPr>
        <w:t>遵循</w:t>
      </w:r>
      <w:r>
        <w:rPr>
          <w:rFonts w:hint="eastAsia" w:ascii="Times New Roman" w:hAnsi="Times New Roman" w:cs="Times New Roman"/>
          <w:lang w:eastAsia="zh-CN"/>
        </w:rPr>
        <w:t>“</w:t>
      </w:r>
      <w:r>
        <w:rPr>
          <w:rFonts w:ascii="Times New Roman" w:hAnsi="Times New Roman" w:cs="Times New Roman"/>
        </w:rPr>
        <w:t>管委会+公司</w:t>
      </w:r>
      <w:r>
        <w:rPr>
          <w:rFonts w:hint="eastAsia" w:ascii="Times New Roman" w:hAnsi="Times New Roman" w:cs="Times New Roman"/>
          <w:lang w:eastAsia="zh-CN"/>
        </w:rPr>
        <w:t>”</w:t>
      </w:r>
      <w:r>
        <w:rPr>
          <w:rFonts w:ascii="Times New Roman" w:hAnsi="Times New Roman" w:cs="Times New Roman"/>
        </w:rPr>
        <w:t>的管理模式与市场化、专业化发展要求，公司发展路径以</w:t>
      </w:r>
      <w:r>
        <w:rPr>
          <w:rFonts w:hint="eastAsia" w:ascii="Times New Roman" w:hAnsi="Times New Roman" w:cs="Times New Roman"/>
          <w:lang w:eastAsia="zh-CN"/>
        </w:rPr>
        <w:t>“</w:t>
      </w:r>
      <w:r>
        <w:rPr>
          <w:rFonts w:ascii="Times New Roman" w:hAnsi="Times New Roman" w:cs="Times New Roman"/>
        </w:rPr>
        <w:t>理顺机制、夯实基础、提升效能、塑造品牌</w:t>
      </w:r>
      <w:r>
        <w:rPr>
          <w:rFonts w:hint="eastAsia" w:ascii="Times New Roman" w:hAnsi="Times New Roman" w:cs="Times New Roman"/>
          <w:lang w:eastAsia="zh-CN"/>
        </w:rPr>
        <w:t>”</w:t>
      </w:r>
      <w:r>
        <w:rPr>
          <w:rFonts w:ascii="Times New Roman" w:hAnsi="Times New Roman" w:cs="Times New Roman"/>
        </w:rPr>
        <w:t>为主线，分三个阶段系统推进：</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ascii="Times New Roman" w:hAnsi="Times New Roman" w:cs="Times New Roman"/>
        </w:rPr>
        <w:t>2026–2027年：在管委会统筹下完成公司组建、团队搭建及制度建设，理顺治理流程；承接园区开发运营职能，整合盘活存量资产与业务，启动首批重点项目，构建市场化、专业化运营框架。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ascii="Times New Roman" w:hAnsi="Times New Roman" w:cs="Times New Roman"/>
        </w:rPr>
        <w:t>2028–2029年：四大核心业务实现全面市场化运作，形成稳定、可持续的商业模式与现金流。园区物理空间建设初具规模，运营服务体系基本建立，产业服务能力显著增强，产业投资实现有效布局，公司市场认可度与专业形象稳步提升。</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ascii="Times New Roman" w:hAnsi="Times New Roman" w:cs="Times New Roman"/>
        </w:rPr>
        <w:t>2030年：深化精细化运营，园区运营服务能级达区域良好水平，健全内部标准体系；总结运营模式，培育专业化服务品牌，夯实可持续发展基础。</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3．</w:t>
      </w:r>
      <w:r>
        <w:rPr>
          <w:rFonts w:ascii="Times New Roman" w:hAnsi="Times New Roman" w:cs="Times New Roman"/>
        </w:rPr>
        <w:t>发展目标</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到2030年，园区资产规模、营业收入、利润总额显著增长，资产回报率处于行业良好水平，获得市场主体信用评级；建成一批主导产业清晰、配套完善、集聚效应显著的专业化园区；构建覆盖企业全生命周期的产业服务体系，形成“以投带引、以服促留”的产业生态，成为恩平产业高质量发展的核心支撑。</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4．</w:t>
      </w:r>
      <w:r>
        <w:rPr>
          <w:rFonts w:ascii="Times New Roman" w:hAnsi="Times New Roman" w:cs="Times New Roman"/>
        </w:rPr>
        <w:t>重点任务</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高标准推进开发建设：作为园区开发建设的实施主体，负责基础设施、标准厂房、创新载体及配套设施的投融资、规划设计与建设管理。积极探索“专项债+市场化融资”、政企合作等多元模式，保障园区空间的高品质、高效率供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专业化实施资产运营：对园区各类资产实施全生命周期、精细化、智慧化的运营管理。提升招商引资成效、物业服务水平与资产使用效率，探索建设智慧园区管理平台，确保国有资产的安全、完整和保值增值。</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cs="Times New Roman"/>
        </w:rPr>
      </w:pPr>
      <w:r>
        <w:rPr>
          <w:rFonts w:hint="eastAsia" w:ascii="Times New Roman" w:hAnsi="Times New Roman" w:cs="Times New Roman"/>
        </w:rPr>
        <w:t>系统性构建产业服务：构建基础服务与专业服务相结合的多层次产业服务体系。为入园企业提供政策对接、金融支持、人才引进、技术转化等关键服务，并围绕演艺装备、智能装备等主导产业，逐步发展特色化、垂直化的深度服务能力。</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cs="Times New Roman"/>
        </w:rPr>
      </w:pPr>
      <w:r>
        <w:rPr>
          <w:rFonts w:hint="eastAsia" w:ascii="Times New Roman" w:hAnsi="Times New Roman" w:cs="Times New Roman"/>
        </w:rPr>
        <w:t>战略性开展产业培育：以服务产业招商和生态构建为核心，通过自主设立、参与合作产业基金等方式，围绕市委市政府确定的“3+1”产业方向进行战略性投资与项目孵化。以“投资+服务”联动吸引和培育产业链优质企业，赋能园区产业生态的构建与升级。</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line="560" w:lineRule="exact"/>
        <w:ind w:left="0" w:leftChars="0" w:firstLine="643" w:firstLineChars="200"/>
        <w:textAlignment w:val="auto"/>
        <w:rPr>
          <w:rFonts w:hint="eastAsia" w:ascii="Times New Roman" w:hAnsi="Times New Roman" w:cs="Times New Roman"/>
          <w:lang w:val="en-US" w:eastAsia="zh-CN"/>
        </w:rPr>
      </w:pPr>
      <w:bookmarkStart w:id="40" w:name="_Toc24274"/>
      <w:bookmarkStart w:id="41" w:name="_Toc9449"/>
      <w:r>
        <w:rPr>
          <w:rFonts w:hint="eastAsia" w:ascii="Times New Roman" w:hAnsi="Times New Roman" w:eastAsia="楷体_GB2312" w:cs="Times New Roman"/>
          <w:b/>
          <w:bCs/>
          <w:kern w:val="0"/>
          <w:sz w:val="32"/>
          <w:szCs w:val="36"/>
          <w:lang w:val="en-US" w:eastAsia="zh-CN" w:bidi="ar-SA"/>
          <w14:ligatures w14:val="standardContextual"/>
        </w:rPr>
        <w:t>五、</w:t>
      </w:r>
      <w:r>
        <w:rPr>
          <w:rFonts w:hint="eastAsia" w:ascii="Times New Roman" w:hAnsi="Times New Roman" w:cs="Times New Roman"/>
          <w:lang w:val="en-US" w:eastAsia="zh-CN"/>
        </w:rPr>
        <w:t>恩平市恩富贸易有限公司</w:t>
      </w:r>
      <w:bookmarkEnd w:id="40"/>
      <w:bookmarkEnd w:id="41"/>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Times New Roman" w:hAnsi="Times New Roman" w:cs="Times New Roman"/>
          <w:lang w:val="en-US" w:eastAsia="zh-CN"/>
        </w:rPr>
      </w:pPr>
      <w:r>
        <w:rPr>
          <w:rFonts w:hint="eastAsia" w:ascii="Times New Roman" w:hAnsi="Times New Roman" w:eastAsia="仿宋_GB2312" w:cs="Times New Roman"/>
          <w:b/>
          <w:bCs/>
          <w:kern w:val="0"/>
          <w:sz w:val="32"/>
          <w:szCs w:val="27"/>
          <w:lang w:val="en-US" w:eastAsia="zh-CN" w:bidi="ar-SA"/>
        </w:rPr>
        <w:t>1．</w:t>
      </w:r>
      <w:r>
        <w:rPr>
          <w:rFonts w:hint="eastAsia" w:ascii="Times New Roman" w:hAnsi="Times New Roman" w:cs="Times New Roman"/>
          <w:lang w:val="en-US" w:eastAsia="zh-CN"/>
        </w:rPr>
        <w:t>功能定位</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Times New Roman"/>
          <w:b w:val="0"/>
          <w:bCs/>
          <w:color w:val="auto"/>
          <w:spacing w:val="0"/>
          <w:kern w:val="21"/>
          <w:sz w:val="32"/>
          <w:szCs w:val="32"/>
          <w:highlight w:val="none"/>
          <w:lang w:val="en-US" w:eastAsia="zh-CN" w:bidi="ar-SA"/>
        </w:rPr>
      </w:pPr>
      <w:r>
        <w:rPr>
          <w:rFonts w:hint="eastAsia" w:ascii="Times New Roman" w:hAnsi="Times New Roman" w:eastAsia="仿宋_GB2312" w:cs="Times New Roman"/>
          <w:b w:val="0"/>
          <w:bCs/>
          <w:color w:val="auto"/>
          <w:spacing w:val="0"/>
          <w:kern w:val="21"/>
          <w:sz w:val="32"/>
          <w:szCs w:val="32"/>
          <w:highlight w:val="none"/>
          <w:lang w:val="en-US" w:eastAsia="zh-CN" w:bidi="ar-SA"/>
        </w:rPr>
        <w:t>市属大宗商品供应链综合服务平台，承担全市战略性物资的集中采购、供应链服务及区域资源整合运营职能，通过市场化运作保障产业链供应链安全、赋能实体产业、盘活特色资源。</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Times New Roman" w:hAnsi="Times New Roman" w:cs="Times New Roman"/>
          <w:lang w:val="en-US" w:eastAsia="zh-CN"/>
        </w:rPr>
      </w:pPr>
      <w:r>
        <w:rPr>
          <w:rFonts w:hint="eastAsia" w:ascii="Times New Roman" w:hAnsi="Times New Roman" w:eastAsia="仿宋_GB2312" w:cs="Times New Roman"/>
          <w:b/>
          <w:bCs/>
          <w:kern w:val="0"/>
          <w:sz w:val="32"/>
          <w:szCs w:val="27"/>
          <w:lang w:val="en-US" w:eastAsia="zh-CN" w:bidi="ar-SA"/>
        </w:rPr>
        <w:t>2．</w:t>
      </w:r>
      <w:r>
        <w:rPr>
          <w:rFonts w:hint="eastAsia" w:ascii="Times New Roman" w:hAnsi="Times New Roman" w:cs="Times New Roman"/>
          <w:lang w:val="en-US" w:eastAsia="zh-CN"/>
        </w:rPr>
        <w:t>发展路径</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Times New Roman"/>
          <w:b w:val="0"/>
          <w:bCs/>
          <w:color w:val="auto"/>
          <w:spacing w:val="0"/>
          <w:kern w:val="21"/>
          <w:sz w:val="32"/>
          <w:szCs w:val="32"/>
          <w:highlight w:val="none"/>
          <w:lang w:val="en-US" w:eastAsia="zh-CN" w:bidi="ar-SA"/>
        </w:rPr>
      </w:pPr>
      <w:r>
        <w:rPr>
          <w:rFonts w:hint="eastAsia" w:ascii="Times New Roman" w:hAnsi="Times New Roman" w:eastAsia="仿宋_GB2312" w:cs="Times New Roman"/>
          <w:b w:val="0"/>
          <w:bCs/>
          <w:color w:val="auto"/>
          <w:spacing w:val="0"/>
          <w:kern w:val="21"/>
          <w:sz w:val="32"/>
          <w:szCs w:val="32"/>
          <w:highlight w:val="none"/>
          <w:lang w:val="en-US" w:eastAsia="zh-CN" w:bidi="ar-SA"/>
        </w:rPr>
        <w:t>遵循“立足内部、服务产业、整合资源、稳步拓展”的发展思路，公司发展路径以“建体系、拓业务、强能力、树品牌”为主线，分三个阶段系统推进：</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Times New Roman"/>
          <w:b w:val="0"/>
          <w:bCs/>
          <w:color w:val="auto"/>
          <w:spacing w:val="0"/>
          <w:kern w:val="21"/>
          <w:sz w:val="32"/>
          <w:szCs w:val="32"/>
          <w:highlight w:val="none"/>
          <w:lang w:val="en-US" w:eastAsia="zh-CN" w:bidi="ar-SA"/>
        </w:rPr>
      </w:pPr>
      <w:r>
        <w:rPr>
          <w:rFonts w:hint="eastAsia" w:ascii="Times New Roman" w:hAnsi="Times New Roman" w:eastAsia="仿宋_GB2312" w:cs="Times New Roman"/>
          <w:b w:val="0"/>
          <w:bCs/>
          <w:color w:val="auto"/>
          <w:spacing w:val="0"/>
          <w:kern w:val="21"/>
          <w:sz w:val="32"/>
          <w:szCs w:val="32"/>
          <w:highlight w:val="none"/>
          <w:lang w:val="en-US" w:eastAsia="zh-CN" w:bidi="ar-SA"/>
        </w:rPr>
        <w:t>2026—2027年：强化公司人才队伍建设及健全制度体系建设，建立规范的供应链业务流程与风控框架。聚焦服务北晟集团需求，开展基建物资、民生保障物资的集中采购业务，形成稳定的业务基本盘。到2027年末，实现营业收入稳步起步，内部协同价值初步显现。</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Times New Roman"/>
          <w:b w:val="0"/>
          <w:bCs/>
          <w:color w:val="auto"/>
          <w:spacing w:val="0"/>
          <w:kern w:val="21"/>
          <w:sz w:val="32"/>
          <w:szCs w:val="32"/>
          <w:highlight w:val="none"/>
          <w:lang w:val="en-US" w:eastAsia="zh-CN" w:bidi="ar-SA"/>
        </w:rPr>
      </w:pPr>
      <w:r>
        <w:rPr>
          <w:rFonts w:hint="eastAsia" w:ascii="Times New Roman" w:hAnsi="Times New Roman" w:eastAsia="仿宋_GB2312" w:cs="Times New Roman"/>
          <w:b w:val="0"/>
          <w:bCs/>
          <w:color w:val="auto"/>
          <w:spacing w:val="0"/>
          <w:kern w:val="21"/>
          <w:sz w:val="32"/>
          <w:szCs w:val="32"/>
          <w:highlight w:val="none"/>
          <w:lang w:val="en-US" w:eastAsia="zh-CN" w:bidi="ar-SA"/>
        </w:rPr>
        <w:t>2028—2029年：业务范围从内部协同向外部延伸，面向恩平本地制造业、建筑业企业开展市场化供应链服务。拓展农产品、能源资源等特色品类的上下游一体化服务，探索开展仓单质押、应收账款保理等供应链金融业务，提升综合服务能力。积极参与红树林碳汇等生态产品的开发与交易，探索绿色供应链新赛道。到2029年末，推动形成“采购-仓储-物流-销售-金融”一体化服务能力，营业收入与利润实现较快增长。</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Times New Roman"/>
          <w:b w:val="0"/>
          <w:bCs/>
          <w:color w:val="auto"/>
          <w:spacing w:val="0"/>
          <w:kern w:val="21"/>
          <w:sz w:val="32"/>
          <w:szCs w:val="32"/>
          <w:highlight w:val="none"/>
          <w:lang w:val="en-US" w:eastAsia="zh-CN" w:bidi="ar-SA"/>
        </w:rPr>
      </w:pPr>
      <w:r>
        <w:rPr>
          <w:rFonts w:hint="eastAsia" w:ascii="Times New Roman" w:hAnsi="Times New Roman" w:eastAsia="仿宋_GB2312" w:cs="Times New Roman"/>
          <w:b w:val="0"/>
          <w:bCs/>
          <w:color w:val="auto"/>
          <w:spacing w:val="0"/>
          <w:kern w:val="21"/>
          <w:sz w:val="32"/>
          <w:szCs w:val="32"/>
          <w:highlight w:val="none"/>
          <w:lang w:val="en-US" w:eastAsia="zh-CN" w:bidi="ar-SA"/>
        </w:rPr>
        <w:t>2030年及以后：建成覆盖重点产业的供应链服务网络，形成稳定、可持续的商业模式与现金流。在1-2个细分品类（如建材、农产品）形成区域市场影响力，培育专业化服务品牌。供应链金融服务实现规范运作并成为重要盈利来源，绿色供应链业务形成特色优势。夯实可持续发展基础，争取获得市场主体信用评级，具备独立融资能力。</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Times New Roman" w:hAnsi="Times New Roman" w:cs="Times New Roman"/>
          <w:lang w:val="en-US" w:eastAsia="zh-CN"/>
        </w:rPr>
      </w:pPr>
      <w:r>
        <w:rPr>
          <w:rFonts w:hint="eastAsia" w:ascii="Times New Roman" w:hAnsi="Times New Roman" w:eastAsia="仿宋_GB2312" w:cs="Times New Roman"/>
          <w:b/>
          <w:bCs/>
          <w:kern w:val="0"/>
          <w:sz w:val="32"/>
          <w:szCs w:val="27"/>
          <w:lang w:val="en-US" w:eastAsia="zh-CN" w:bidi="ar-SA"/>
        </w:rPr>
        <w:t>3．</w:t>
      </w:r>
      <w:r>
        <w:rPr>
          <w:rFonts w:hint="eastAsia" w:ascii="Times New Roman" w:hAnsi="Times New Roman" w:cs="Times New Roman"/>
          <w:lang w:val="en-US" w:eastAsia="zh-CN"/>
        </w:rPr>
        <w:t>发展目标</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Times New Roman"/>
          <w:b w:val="0"/>
          <w:bCs/>
          <w:color w:val="auto"/>
          <w:spacing w:val="0"/>
          <w:kern w:val="21"/>
          <w:sz w:val="32"/>
          <w:szCs w:val="32"/>
          <w:highlight w:val="none"/>
          <w:lang w:val="en-US" w:eastAsia="zh-CN" w:bidi="ar-SA"/>
        </w:rPr>
      </w:pPr>
      <w:r>
        <w:rPr>
          <w:rFonts w:hint="eastAsia" w:ascii="Times New Roman" w:hAnsi="Times New Roman" w:eastAsia="仿宋_GB2312" w:cs="Times New Roman"/>
          <w:b w:val="0"/>
          <w:bCs/>
          <w:color w:val="auto"/>
          <w:spacing w:val="0"/>
          <w:kern w:val="21"/>
          <w:sz w:val="32"/>
          <w:szCs w:val="32"/>
          <w:highlight w:val="none"/>
          <w:lang w:val="en-US" w:eastAsia="zh-CN" w:bidi="ar-SA"/>
        </w:rPr>
        <w:t>到2030年，公司资产规模稳步增长，营业收入突破</w:t>
      </w:r>
      <w:r>
        <w:rPr>
          <w:rFonts w:hint="eastAsia" w:ascii="Times New Roman" w:hAnsi="Times New Roman" w:cs="Times New Roman"/>
          <w:b w:val="0"/>
          <w:bCs/>
          <w:color w:val="auto"/>
          <w:spacing w:val="0"/>
          <w:kern w:val="21"/>
          <w:sz w:val="32"/>
          <w:szCs w:val="32"/>
          <w:highlight w:val="none"/>
          <w:lang w:val="en-US" w:eastAsia="zh-CN" w:bidi="ar-SA"/>
        </w:rPr>
        <w:t>2500</w:t>
      </w:r>
      <w:r>
        <w:rPr>
          <w:rFonts w:hint="eastAsia" w:ascii="Times New Roman" w:hAnsi="Times New Roman" w:eastAsia="仿宋_GB2312" w:cs="Times New Roman"/>
          <w:b w:val="0"/>
          <w:bCs/>
          <w:color w:val="auto"/>
          <w:spacing w:val="0"/>
          <w:kern w:val="21"/>
          <w:sz w:val="32"/>
          <w:szCs w:val="32"/>
          <w:highlight w:val="none"/>
          <w:lang w:val="en-US" w:eastAsia="zh-CN" w:bidi="ar-SA"/>
        </w:rPr>
        <w:t>万元，利润贡献显著提升；建成覆盖建材、农产品、能源资源等重点品类的供应链服务体系；培育1-2个具有区域影响力的特色供应链服务品牌；风控体系健全完善，坏账率控制在行业良好水平，成为恩平市服务实体经济、保障供应链安全的核心平台。</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Times New Roman" w:hAnsi="Times New Roman" w:cs="Times New Roman"/>
          <w:lang w:val="en-US" w:eastAsia="zh-CN"/>
        </w:rPr>
      </w:pPr>
      <w:r>
        <w:rPr>
          <w:rFonts w:hint="eastAsia" w:ascii="Times New Roman" w:hAnsi="Times New Roman" w:eastAsia="仿宋_GB2312" w:cs="Times New Roman"/>
          <w:b/>
          <w:bCs/>
          <w:kern w:val="0"/>
          <w:sz w:val="32"/>
          <w:szCs w:val="27"/>
          <w:lang w:val="en-US" w:eastAsia="zh-CN" w:bidi="ar-SA"/>
        </w:rPr>
        <w:t>4．</w:t>
      </w:r>
      <w:r>
        <w:rPr>
          <w:rFonts w:hint="eastAsia" w:ascii="Times New Roman" w:hAnsi="Times New Roman" w:cs="Times New Roman"/>
          <w:lang w:val="en-US" w:eastAsia="zh-CN"/>
        </w:rPr>
        <w:t>重点任务</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Times New Roman"/>
          <w:b w:val="0"/>
          <w:bCs/>
          <w:color w:val="auto"/>
          <w:spacing w:val="0"/>
          <w:kern w:val="21"/>
          <w:sz w:val="32"/>
          <w:szCs w:val="32"/>
          <w:highlight w:val="none"/>
          <w:lang w:val="en-US" w:eastAsia="zh-CN" w:bidi="ar-SA"/>
        </w:rPr>
      </w:pPr>
      <w:r>
        <w:rPr>
          <w:rFonts w:hint="default" w:ascii="Times New Roman" w:hAnsi="Times New Roman" w:eastAsia="仿宋_GB2312" w:cs="Times New Roman"/>
          <w:b w:val="0"/>
          <w:bCs/>
          <w:color w:val="auto"/>
          <w:spacing w:val="0"/>
          <w:kern w:val="21"/>
          <w:sz w:val="32"/>
          <w:szCs w:val="32"/>
          <w:highlight w:val="none"/>
          <w:lang w:val="en-US" w:eastAsia="zh-CN" w:bidi="ar-SA"/>
        </w:rPr>
        <w:t>（1）做深内部协同采购服务：以北晟集团内部需求为基本盘，为基础设施建设、民生服务、乡村振兴等板块提供钢材、水泥、管材、农资等大宗物资的集中采购与稳定供应。通过规模化采购降低集团整体采购成本，以优质服务赢得内部信任，打造可复制的供应链服务样板。</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b w:val="0"/>
          <w:bCs/>
          <w:color w:val="auto"/>
          <w:spacing w:val="0"/>
          <w:kern w:val="21"/>
          <w:sz w:val="32"/>
          <w:szCs w:val="32"/>
          <w:highlight w:val="none"/>
          <w:lang w:val="en-US" w:eastAsia="zh-CN" w:bidi="ar-SA"/>
        </w:rPr>
      </w:pPr>
      <w:r>
        <w:rPr>
          <w:rFonts w:hint="default" w:ascii="Times New Roman" w:hAnsi="Times New Roman" w:eastAsia="仿宋_GB2312" w:cs="Times New Roman"/>
          <w:b w:val="0"/>
          <w:bCs/>
          <w:color w:val="auto"/>
          <w:spacing w:val="0"/>
          <w:kern w:val="21"/>
          <w:sz w:val="32"/>
          <w:szCs w:val="32"/>
          <w:highlight w:val="none"/>
          <w:lang w:val="en-US" w:eastAsia="zh-CN" w:bidi="ar-SA"/>
        </w:rPr>
        <w:t>（2）做优市场化供应链服务：面向恩平本地制造业、建筑业企业及农业合作社，开展原材料采购、产成品销售、仓储物流等一体化服务。重点围绕建材、农产品、能源资源三大品类深耕细作，逐步向下游延伸至加工、配送环节，向上游拓展至源头采购，提升服务附加值。审慎探索仓单质押、应收账款保理等供应链金融服务，严格把控信用风险。</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b w:val="0"/>
          <w:bCs/>
          <w:color w:val="auto"/>
          <w:spacing w:val="0"/>
          <w:kern w:val="21"/>
          <w:sz w:val="32"/>
          <w:szCs w:val="32"/>
          <w:highlight w:val="none"/>
          <w:lang w:val="en-US" w:eastAsia="zh-CN" w:bidi="ar-SA"/>
        </w:rPr>
      </w:pPr>
      <w:r>
        <w:rPr>
          <w:rFonts w:hint="default" w:ascii="Times New Roman" w:hAnsi="Times New Roman" w:eastAsia="仿宋_GB2312" w:cs="Times New Roman"/>
          <w:b w:val="0"/>
          <w:bCs/>
          <w:color w:val="auto"/>
          <w:spacing w:val="0"/>
          <w:kern w:val="21"/>
          <w:sz w:val="32"/>
          <w:szCs w:val="32"/>
          <w:highlight w:val="none"/>
          <w:lang w:val="en-US" w:eastAsia="zh-CN" w:bidi="ar-SA"/>
        </w:rPr>
        <w:t>（3）做好区域资源整合运营：依托恩平富硒农产品、矿产资源、林业资源等特色禀赋，推动“资源—产品—品牌”的价值转化。积极参与“恩情大地”区域公用品牌运营，整合特色农产品流通渠道。主动对接公有公司盘活的存量资产（如恩平港、闲置仓储设施），合作开发仓储物流功能，共同提升资产运营效益。积极布局红树林碳汇等生态产品开发与交易，抢占绿色资源运营新赛道。</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b w:val="0"/>
          <w:bCs/>
          <w:color w:val="auto"/>
          <w:spacing w:val="0"/>
          <w:kern w:val="21"/>
          <w:sz w:val="32"/>
          <w:szCs w:val="32"/>
          <w:highlight w:val="none"/>
          <w:lang w:val="en-US" w:eastAsia="zh-CN" w:bidi="ar-SA"/>
        </w:rPr>
      </w:pPr>
      <w:r>
        <w:rPr>
          <w:rFonts w:hint="default" w:ascii="Times New Roman" w:hAnsi="Times New Roman" w:eastAsia="仿宋_GB2312" w:cs="Times New Roman"/>
          <w:b w:val="0"/>
          <w:bCs/>
          <w:color w:val="auto"/>
          <w:spacing w:val="0"/>
          <w:kern w:val="21"/>
          <w:sz w:val="32"/>
          <w:szCs w:val="32"/>
          <w:highlight w:val="none"/>
          <w:lang w:val="en-US" w:eastAsia="zh-CN" w:bidi="ar-SA"/>
        </w:rPr>
        <w:t>（4）做实风险防控体系建设：坚守</w:t>
      </w:r>
      <w:r>
        <w:rPr>
          <w:rFonts w:hint="eastAsia" w:ascii="Times New Roman" w:hAnsi="Times New Roman" w:cs="Times New Roman"/>
          <w:b w:val="0"/>
          <w:bCs/>
          <w:color w:val="auto"/>
          <w:spacing w:val="0"/>
          <w:kern w:val="21"/>
          <w:sz w:val="32"/>
          <w:szCs w:val="32"/>
          <w:highlight w:val="none"/>
          <w:lang w:val="en-US" w:eastAsia="zh-CN" w:bidi="ar-SA"/>
        </w:rPr>
        <w:t>“</w:t>
      </w:r>
      <w:r>
        <w:rPr>
          <w:rFonts w:hint="default" w:ascii="Times New Roman" w:hAnsi="Times New Roman" w:eastAsia="仿宋_GB2312" w:cs="Times New Roman"/>
          <w:b w:val="0"/>
          <w:bCs/>
          <w:color w:val="auto"/>
          <w:spacing w:val="0"/>
          <w:kern w:val="21"/>
          <w:sz w:val="32"/>
          <w:szCs w:val="32"/>
          <w:highlight w:val="none"/>
          <w:lang w:val="en-US" w:eastAsia="zh-CN" w:bidi="ar-SA"/>
        </w:rPr>
        <w:t>真实贸易、实物流转</w:t>
      </w:r>
      <w:r>
        <w:rPr>
          <w:rFonts w:hint="eastAsia" w:ascii="Times New Roman" w:hAnsi="Times New Roman" w:cs="Times New Roman"/>
          <w:b w:val="0"/>
          <w:bCs/>
          <w:color w:val="auto"/>
          <w:spacing w:val="0"/>
          <w:kern w:val="21"/>
          <w:sz w:val="32"/>
          <w:szCs w:val="32"/>
          <w:highlight w:val="none"/>
          <w:lang w:val="en-US" w:eastAsia="zh-CN" w:bidi="ar-SA"/>
        </w:rPr>
        <w:t>”</w:t>
      </w:r>
      <w:r>
        <w:rPr>
          <w:rFonts w:hint="default" w:ascii="Times New Roman" w:hAnsi="Times New Roman" w:eastAsia="仿宋_GB2312" w:cs="Times New Roman"/>
          <w:b w:val="0"/>
          <w:bCs/>
          <w:color w:val="auto"/>
          <w:spacing w:val="0"/>
          <w:kern w:val="21"/>
          <w:sz w:val="32"/>
          <w:szCs w:val="32"/>
          <w:highlight w:val="none"/>
          <w:lang w:val="en-US" w:eastAsia="zh-CN" w:bidi="ar-SA"/>
        </w:rPr>
        <w:t>底线，杜绝融资性贸易和空转走单等虚假业务。建立严格的客户准入与信用评级制度，推行预付款/保证金等风控措施。健全合同管理、物流监管、应收账款跟踪全流程风控机制，确保业务发展与风险控制相匹配，实现稳健可持续发展。</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b w:val="0"/>
          <w:bCs/>
          <w:color w:val="auto"/>
          <w:spacing w:val="0"/>
          <w:kern w:val="21"/>
          <w:sz w:val="32"/>
          <w:szCs w:val="32"/>
          <w:highlight w:val="none"/>
          <w:lang w:val="en-US" w:eastAsia="zh-CN" w:bidi="ar-SA"/>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ind w:left="0" w:leftChars="0" w:firstLine="640" w:firstLineChars="200"/>
        <w:textAlignment w:val="auto"/>
        <w:rPr>
          <w:rFonts w:hint="default" w:ascii="Times New Roman" w:hAnsi="Times New Roman" w:cs="Times New Roman"/>
        </w:rPr>
      </w:pPr>
      <w:bookmarkStart w:id="42" w:name="_Toc9130"/>
      <w:bookmarkStart w:id="43" w:name="_Toc2002"/>
      <w:r>
        <w:rPr>
          <w:rFonts w:hint="eastAsia" w:ascii="Times New Roman" w:hAnsi="Times New Roman" w:eastAsia="黑体" w:cs="Times New Roman"/>
          <w:bCs/>
          <w:kern w:val="44"/>
          <w:sz w:val="32"/>
          <w:szCs w:val="48"/>
          <w:lang w:val="en-US" w:eastAsia="zh-CN" w:bidi="ar-SA"/>
        </w:rPr>
        <w:t xml:space="preserve">第六章 </w:t>
      </w:r>
      <w:r>
        <w:rPr>
          <w:rFonts w:ascii="Times New Roman" w:hAnsi="Times New Roman" w:cs="Times New Roman"/>
        </w:rPr>
        <w:t>保障措施</w:t>
      </w:r>
      <w:bookmarkEnd w:id="42"/>
      <w:bookmarkEnd w:id="43"/>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44" w:name="_Toc22840"/>
      <w:bookmarkStart w:id="45" w:name="_Toc682"/>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rPr>
        <w:t>坚持党的全面领导，加强国企党建工作</w:t>
      </w:r>
      <w:bookmarkEnd w:id="44"/>
      <w:bookmarkEnd w:id="45"/>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cs="Times New Roman"/>
        </w:rPr>
      </w:pPr>
      <w:r>
        <w:rPr>
          <w:rFonts w:hint="eastAsia" w:ascii="Times New Roman" w:hAnsi="Times New Roman" w:cs="Times New Roman"/>
        </w:rPr>
        <w:t>将党的领导贯穿改革发展全过程，压实党建责任制，把党建要求纳入企业章程，完善“双向进入、交叉任职”体制，严格执行“三重一大”党组织前置研究制度，以政治优势赋能企业发展。</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46" w:name="_Toc5788"/>
      <w:bookmarkStart w:id="47" w:name="_Toc16447"/>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rPr>
        <w:t>强化组织领导，推动规划落地实施</w:t>
      </w:r>
      <w:bookmarkEnd w:id="46"/>
      <w:bookmarkEnd w:id="47"/>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cs="Times New Roman"/>
        </w:rPr>
      </w:pPr>
      <w:r>
        <w:rPr>
          <w:rFonts w:hint="eastAsia" w:ascii="Times New Roman" w:hAnsi="Times New Roman" w:cs="Times New Roman"/>
        </w:rPr>
        <w:t>市委、市政府统筹改革，明晰部门职责；市资产办加强跨部门协调，出台配套政策；各国企履行主体责任，“一企一策”推进改革，妥善安置职工。</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48" w:name="_Toc30785"/>
      <w:bookmarkStart w:id="49" w:name="_Toc16327"/>
      <w:r>
        <w:rPr>
          <w:rFonts w:hint="eastAsia" w:ascii="Times New Roman" w:hAnsi="Times New Roman" w:eastAsia="楷体_GB2312" w:cs="Times New Roman"/>
          <w:b/>
          <w:bCs/>
          <w:kern w:val="0"/>
          <w:sz w:val="32"/>
          <w:szCs w:val="36"/>
          <w:lang w:val="en-US" w:eastAsia="zh-CN" w:bidi="ar-SA"/>
          <w14:ligatures w14:val="standardContextual"/>
        </w:rPr>
        <w:t>三、</w:t>
      </w:r>
      <w:r>
        <w:rPr>
          <w:rFonts w:ascii="Times New Roman" w:hAnsi="Times New Roman" w:cs="Times New Roman"/>
        </w:rPr>
        <w:t>健全绩效管理，完善考核评价体系</w:t>
      </w:r>
      <w:bookmarkEnd w:id="48"/>
      <w:bookmarkEnd w:id="49"/>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cs="Times New Roman"/>
        </w:rPr>
      </w:pPr>
      <w:r>
        <w:rPr>
          <w:rFonts w:hint="default" w:ascii="Times New Roman" w:hAnsi="Times New Roman" w:cs="Times New Roman"/>
        </w:rPr>
        <w:t>优化国企经营业绩考核办法，将规划实施、改革任务完成情况纳入考核，合理调整重点任务企业考核目标，考核结果与薪酬、任用、评优挂钩，严肃追责落实不力者，完善内部考核与多元激励。强化业财融合导向，将财务管控贯穿业务决策、执行、评价全过程，建立健全成本效益分析机制，推动财务数据精准服务经营决策，实现业务与财务同向发力、协同增值。</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50" w:name="_Toc32240"/>
      <w:bookmarkStart w:id="51" w:name="_Toc15465"/>
      <w:r>
        <w:rPr>
          <w:rFonts w:hint="eastAsia" w:ascii="Times New Roman" w:hAnsi="Times New Roman" w:eastAsia="楷体_GB2312" w:cs="Times New Roman"/>
          <w:b/>
          <w:bCs/>
          <w:kern w:val="0"/>
          <w:sz w:val="32"/>
          <w:szCs w:val="36"/>
          <w:lang w:val="en-US" w:eastAsia="zh-CN" w:bidi="ar-SA"/>
          <w14:ligatures w14:val="standardContextual"/>
        </w:rPr>
        <w:t>四、</w:t>
      </w:r>
      <w:r>
        <w:rPr>
          <w:rFonts w:ascii="Times New Roman" w:hAnsi="Times New Roman" w:cs="Times New Roman"/>
        </w:rPr>
        <w:t>落实责任追究，筑牢国资安全防线</w:t>
      </w:r>
      <w:bookmarkEnd w:id="50"/>
      <w:bookmarkEnd w:id="51"/>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cs="Times New Roman"/>
        </w:rPr>
      </w:pPr>
      <w:r>
        <w:rPr>
          <w:rFonts w:hint="eastAsia" w:ascii="Times New Roman" w:hAnsi="Times New Roman" w:cs="Times New Roman"/>
        </w:rPr>
        <w:t>健全科学决策体系，规范重大投资与经营决策程序，建立国有资产损失责任追究制度。筑牢内部、外部、社会监督及监督制度建设“四道防线”，健全核查整改、监督会商、责任倒查等“六个机制”，严防国有资产流失。</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52" w:name="_Toc7274"/>
      <w:bookmarkStart w:id="53" w:name="_Toc20761"/>
      <w:r>
        <w:rPr>
          <w:rFonts w:hint="eastAsia" w:ascii="Times New Roman" w:hAnsi="Times New Roman" w:eastAsia="楷体_GB2312" w:cs="Times New Roman"/>
          <w:b/>
          <w:bCs/>
          <w:kern w:val="0"/>
          <w:sz w:val="32"/>
          <w:szCs w:val="36"/>
          <w:lang w:val="en-US" w:eastAsia="zh-CN" w:bidi="ar-SA"/>
          <w14:ligatures w14:val="standardContextual"/>
        </w:rPr>
        <w:t>五、</w:t>
      </w:r>
      <w:r>
        <w:rPr>
          <w:rFonts w:ascii="Times New Roman" w:hAnsi="Times New Roman" w:cs="Times New Roman"/>
        </w:rPr>
        <w:t>建立容错纠错，鼓励改革创新探索</w:t>
      </w:r>
      <w:bookmarkEnd w:id="52"/>
      <w:bookmarkEnd w:id="53"/>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cs="Times New Roman"/>
        </w:rPr>
      </w:pPr>
      <w:r>
        <w:rPr>
          <w:rFonts w:hint="eastAsia" w:ascii="Times New Roman" w:hAnsi="Times New Roman" w:cs="Times New Roman"/>
        </w:rPr>
        <w:t>构建改革创新容错纠错机制，合理界定容错情形，对改革创新中的探索性失误，综合考量主观动机、决策过程等予以容错。制定尽职合规免责清单，规范操作流程，建立纠错整改与申诉救济机制，鼓励干部职工担当作为、大胆探索。</w:t>
      </w:r>
    </w:p>
    <w:p>
      <w:pPr>
        <w:ind w:firstLine="640"/>
        <w:rPr>
          <w:rFonts w:hint="eastAsia" w:ascii="Times New Roman" w:hAnsi="Times New Roman" w:cs="Times New Roman"/>
        </w:rPr>
      </w:pPr>
    </w:p>
    <w:p>
      <w:pPr>
        <w:ind w:firstLine="0" w:firstLineChars="0"/>
        <w:rPr>
          <w:rFonts w:hint="eastAsia" w:ascii="Times New Roman" w:hAnsi="Times New Roman" w:cs="Times New Roman"/>
          <w:b/>
          <w:bCs/>
        </w:rPr>
      </w:pPr>
      <w:r>
        <w:rPr>
          <w:rFonts w:hint="eastAsia" w:ascii="Times New Roman" w:hAnsi="Times New Roman" w:cs="Times New Roman"/>
          <w:b/>
          <w:bCs/>
        </w:rPr>
        <w:t>附则</w:t>
      </w:r>
    </w:p>
    <w:p>
      <w:pPr>
        <w:ind w:firstLine="640"/>
        <w:rPr>
          <w:rFonts w:hint="eastAsia" w:ascii="Times New Roman" w:hAnsi="Times New Roman" w:cs="Times New Roman"/>
        </w:rPr>
      </w:pPr>
      <w:r>
        <w:rPr>
          <w:rFonts w:hint="eastAsia" w:ascii="Times New Roman" w:hAnsi="Times New Roman" w:cs="Times New Roman"/>
        </w:rPr>
        <w:t>本规划自恩平市人民政府批准之日起施行，由市资产办负责解释。实施过程中如遇国家和上级政策调整，按新政策执行。</w:t>
      </w:r>
    </w:p>
    <w:p>
      <w:pPr>
        <w:rPr>
          <w:rFonts w:hint="eastAsia" w:ascii="Times New Roman" w:hAnsi="Times New Roman" w:cs="Times New Roman"/>
        </w:rPr>
      </w:pPr>
    </w:p>
    <w:p>
      <w:pPr>
        <w:ind w:left="0" w:leftChars="0" w:firstLine="0" w:firstLineChars="0"/>
        <w:rPr>
          <w:rFonts w:hint="eastAsia" w:ascii="Times New Roman" w:hAnsi="Times New Roman" w:cs="Times New Roman"/>
        </w:rPr>
      </w:pPr>
      <w:r>
        <w:rPr>
          <w:rFonts w:hint="eastAsia" w:ascii="Times New Roman" w:hAnsi="Times New Roman" w:cs="Times New Roman"/>
        </w:rPr>
        <w:br w:type="page"/>
      </w:r>
    </w:p>
    <w:p>
      <w:pPr>
        <w:pStyle w:val="2"/>
        <w:numPr>
          <w:ilvl w:val="0"/>
          <w:numId w:val="0"/>
        </w:numPr>
        <w:bidi w:val="0"/>
        <w:ind w:leftChars="0"/>
        <w:jc w:val="both"/>
        <w:rPr>
          <w:rFonts w:ascii="Times New Roman" w:hAnsi="Times New Roman" w:cs="Times New Roman"/>
        </w:rPr>
      </w:pPr>
      <w:bookmarkStart w:id="54" w:name="_Toc25675"/>
      <w:bookmarkStart w:id="55" w:name="_Toc16005"/>
      <w:r>
        <w:rPr>
          <w:rFonts w:hint="eastAsia" w:ascii="Times New Roman" w:hAnsi="Times New Roman" w:cs="Times New Roman"/>
          <w:lang w:val="en-US" w:eastAsia="zh-CN"/>
        </w:rPr>
        <w:t>附件一：</w:t>
      </w:r>
      <w:r>
        <w:rPr>
          <w:rFonts w:hint="eastAsia" w:ascii="Times New Roman" w:hAnsi="Times New Roman" w:cs="Times New Roman"/>
        </w:rPr>
        <w:t>广东北晟建设投资集团有限公司“十五五”（2026-2030年）企业发展规划</w:t>
      </w:r>
      <w:bookmarkEnd w:id="54"/>
      <w:bookmarkEnd w:id="55"/>
    </w:p>
    <w:p>
      <w:pPr>
        <w:pStyle w:val="2"/>
        <w:numPr>
          <w:ilvl w:val="0"/>
          <w:numId w:val="0"/>
        </w:numPr>
        <w:bidi w:val="0"/>
        <w:ind w:left="0" w:leftChars="0" w:firstLine="0" w:firstLineChars="0"/>
        <w:rPr>
          <w:rFonts w:hint="default" w:ascii="Times New Roman" w:hAnsi="Times New Roman" w:cs="Times New Roman"/>
        </w:rPr>
      </w:pPr>
      <w:bookmarkStart w:id="56" w:name="_Toc28356"/>
      <w:bookmarkStart w:id="57" w:name="_Toc21154"/>
      <w:bookmarkStart w:id="58" w:name="_Toc22572"/>
      <w:bookmarkStart w:id="59" w:name="_Toc26251"/>
      <w:bookmarkStart w:id="60" w:name="_Toc18175"/>
      <w:bookmarkStart w:id="61" w:name="_Toc10103"/>
      <w:r>
        <w:rPr>
          <w:rFonts w:hint="eastAsia" w:ascii="Times New Roman" w:hAnsi="Times New Roman" w:eastAsia="黑体" w:cs="Times New Roman"/>
          <w:bCs/>
          <w:kern w:val="44"/>
          <w:sz w:val="32"/>
          <w:szCs w:val="48"/>
          <w:lang w:val="en-US" w:eastAsia="zh-CN" w:bidi="ar-SA"/>
        </w:rPr>
        <w:t xml:space="preserve">第一章 </w:t>
      </w:r>
      <w:r>
        <w:rPr>
          <w:rFonts w:ascii="Times New Roman" w:hAnsi="Times New Roman" w:cs="Times New Roman"/>
        </w:rPr>
        <w:t>发展基础</w:t>
      </w:r>
      <w:bookmarkEnd w:id="56"/>
      <w:bookmarkEnd w:id="57"/>
      <w:bookmarkEnd w:id="58"/>
      <w:bookmarkEnd w:id="59"/>
      <w:bookmarkEnd w:id="60"/>
      <w:bookmarkEnd w:id="61"/>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rPr>
      </w:pPr>
      <w:bookmarkStart w:id="62" w:name="_Toc13683"/>
      <w:bookmarkStart w:id="63" w:name="_Toc6951"/>
      <w:bookmarkStart w:id="64" w:name="_Toc10579"/>
      <w:bookmarkStart w:id="65" w:name="_Toc450"/>
      <w:bookmarkStart w:id="66" w:name="_Toc14763"/>
      <w:bookmarkStart w:id="67" w:name="_Toc4033"/>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rPr>
        <w:t>发展基础</w:t>
      </w:r>
      <w:bookmarkEnd w:id="62"/>
      <w:bookmarkEnd w:id="63"/>
      <w:bookmarkEnd w:id="64"/>
      <w:bookmarkEnd w:id="65"/>
      <w:bookmarkEnd w:id="66"/>
      <w:bookmarkEnd w:id="67"/>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北晟集团成立于2012年11月，前身为恩平市北晟建设开发有限公司，是市资产办全资控股的国有独资企业，现拥有63家下属公司（全资33家、控股9家、参股21家），为恩平市整合市属优质国有资源组建的最大国有企业。截至2024年底，集团总资产达48.66亿元，净资产36.78亿元，资产负债率24.40%，2024年7月获AA主体信用评级，财务状况稳健，无沉重历史债务负担。业务已形成基础设施建设、农业、民生服务、能源资源、园区建设五大板块，具备多元化发展的基础框架。</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rPr>
      </w:pPr>
      <w:bookmarkStart w:id="68" w:name="_Toc16783"/>
      <w:bookmarkStart w:id="69" w:name="_Toc19584"/>
      <w:bookmarkStart w:id="70" w:name="_Toc16053"/>
      <w:bookmarkStart w:id="71" w:name="_Toc25813"/>
      <w:bookmarkStart w:id="72" w:name="_Toc5354"/>
      <w:bookmarkStart w:id="73" w:name="_Toc29645"/>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rPr>
        <w:t>核心问题</w:t>
      </w:r>
      <w:bookmarkEnd w:id="68"/>
      <w:bookmarkEnd w:id="69"/>
      <w:bookmarkEnd w:id="70"/>
      <w:bookmarkEnd w:id="71"/>
      <w:bookmarkEnd w:id="72"/>
      <w:bookmarkEnd w:id="73"/>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r>
        <w:rPr>
          <w:rFonts w:ascii="Times New Roman" w:hAnsi="Times New Roman" w:cs="Times New Roman"/>
        </w:rPr>
        <w:t>市场化经营能力薄弱</w:t>
      </w:r>
      <w:r>
        <w:rPr>
          <w:rFonts w:hint="eastAsia" w:ascii="Times New Roman" w:hAnsi="Times New Roman" w:cs="Times New Roman"/>
        </w:rPr>
        <w:t>：</w:t>
      </w:r>
      <w:r>
        <w:rPr>
          <w:rFonts w:ascii="Times New Roman" w:hAnsi="Times New Roman" w:cs="Times New Roman"/>
        </w:rPr>
        <w:t>营收与利润高度依赖政策性业务和资产划拨，部分竞争性业务亏损，成本控制与自主盈利能力不足，业务结构以项目化为主，未形成产业化发展格局。</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r>
        <w:rPr>
          <w:rFonts w:ascii="Times New Roman" w:hAnsi="Times New Roman" w:cs="Times New Roman"/>
        </w:rPr>
        <w:t>集团化协同效能不足</w:t>
      </w:r>
      <w:r>
        <w:rPr>
          <w:rFonts w:hint="eastAsia" w:ascii="Times New Roman" w:hAnsi="Times New Roman" w:cs="Times New Roman"/>
        </w:rPr>
        <w:t>：</w:t>
      </w:r>
      <w:r>
        <w:rPr>
          <w:rFonts w:ascii="Times New Roman" w:hAnsi="Times New Roman" w:cs="Times New Roman"/>
        </w:rPr>
        <w:t>存在</w:t>
      </w:r>
      <w:r>
        <w:rPr>
          <w:rFonts w:hint="eastAsia" w:ascii="Times New Roman" w:hAnsi="Times New Roman" w:cs="Times New Roman"/>
        </w:rPr>
        <w:t>“</w:t>
      </w:r>
      <w:r>
        <w:rPr>
          <w:rFonts w:ascii="Times New Roman" w:hAnsi="Times New Roman" w:cs="Times New Roman"/>
        </w:rPr>
        <w:t>集而不团</w:t>
      </w:r>
      <w:r>
        <w:rPr>
          <w:rFonts w:hint="eastAsia" w:ascii="Times New Roman" w:hAnsi="Times New Roman" w:cs="Times New Roman"/>
        </w:rPr>
        <w:t>”</w:t>
      </w:r>
      <w:r>
        <w:rPr>
          <w:rFonts w:ascii="Times New Roman" w:hAnsi="Times New Roman" w:cs="Times New Roman"/>
        </w:rPr>
        <w:t>问题，总部战略引领、资源配置、风险管控等核心功能有待强化，各业务板块在资源共享、供应链协同、业务联动等方面整合不足，未形成高效内部发展生态。</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r>
        <w:rPr>
          <w:rFonts w:ascii="Times New Roman" w:hAnsi="Times New Roman" w:cs="Times New Roman"/>
        </w:rPr>
        <w:t>专业人才支撑体系滞后</w:t>
      </w:r>
      <w:r>
        <w:rPr>
          <w:rFonts w:hint="eastAsia" w:ascii="Times New Roman" w:hAnsi="Times New Roman" w:cs="Times New Roman"/>
        </w:rPr>
        <w:t>：</w:t>
      </w:r>
      <w:r>
        <w:rPr>
          <w:rFonts w:ascii="Times New Roman" w:hAnsi="Times New Roman" w:cs="Times New Roman"/>
        </w:rPr>
        <w:t>战略投资、资本运营、风控法务等核心职能部门编制空缺严重，高层次复合型人才、专业运营人才供给不足，与业务多元化发展需求不匹配。</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运营管理与资本运作能力欠缺</w:t>
      </w:r>
      <w:r>
        <w:rPr>
          <w:rFonts w:hint="eastAsia" w:ascii="Times New Roman" w:hAnsi="Times New Roman" w:cs="Times New Roman"/>
        </w:rPr>
        <w:t>：</w:t>
      </w:r>
      <w:r>
        <w:rPr>
          <w:rFonts w:ascii="Times New Roman" w:hAnsi="Times New Roman" w:cs="Times New Roman"/>
        </w:rPr>
        <w:t>无项目全生命周期标准化运营体系，核心业务多依赖合作运营，自主能力沉淀不足；资本运作处于初级阶段，融资方式单一，投后管理薄弱，资产流动性与价值释放能力有待提升。</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ind w:left="0" w:leftChars="0" w:firstLine="640" w:firstLineChars="200"/>
        <w:textAlignment w:val="auto"/>
        <w:rPr>
          <w:rFonts w:hint="default" w:ascii="Times New Roman" w:hAnsi="Times New Roman" w:cs="Times New Roman"/>
        </w:rPr>
      </w:pPr>
      <w:bookmarkStart w:id="74" w:name="_Toc15375"/>
      <w:bookmarkStart w:id="75" w:name="_Toc11225"/>
      <w:bookmarkStart w:id="76" w:name="_Toc20535"/>
      <w:bookmarkStart w:id="77" w:name="_Toc2075"/>
      <w:bookmarkStart w:id="78" w:name="_Toc5498"/>
      <w:bookmarkStart w:id="79" w:name="_Toc20468"/>
      <w:r>
        <w:rPr>
          <w:rFonts w:hint="eastAsia" w:ascii="Times New Roman" w:hAnsi="Times New Roman" w:eastAsia="黑体" w:cs="Times New Roman"/>
          <w:bCs/>
          <w:kern w:val="44"/>
          <w:sz w:val="32"/>
          <w:szCs w:val="48"/>
          <w:lang w:val="en-US" w:eastAsia="zh-CN" w:bidi="ar-SA"/>
        </w:rPr>
        <w:t xml:space="preserve">第二章 </w:t>
      </w:r>
      <w:r>
        <w:rPr>
          <w:rFonts w:ascii="Times New Roman" w:hAnsi="Times New Roman" w:cs="Times New Roman"/>
        </w:rPr>
        <w:t>发展环境分析</w:t>
      </w:r>
      <w:bookmarkEnd w:id="74"/>
      <w:bookmarkEnd w:id="75"/>
      <w:bookmarkEnd w:id="76"/>
      <w:bookmarkEnd w:id="77"/>
      <w:bookmarkEnd w:id="78"/>
      <w:bookmarkEnd w:id="79"/>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rPr>
      </w:pPr>
      <w:bookmarkStart w:id="80" w:name="_Toc16926"/>
      <w:bookmarkStart w:id="81" w:name="_Toc28357"/>
      <w:bookmarkStart w:id="82" w:name="_Toc32501"/>
      <w:bookmarkStart w:id="83" w:name="_Toc27081"/>
      <w:bookmarkStart w:id="84" w:name="_Toc8769"/>
      <w:bookmarkStart w:id="85" w:name="_Toc9913"/>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rPr>
        <w:t>外部机遇</w:t>
      </w:r>
      <w:bookmarkEnd w:id="80"/>
      <w:bookmarkEnd w:id="81"/>
      <w:bookmarkEnd w:id="82"/>
      <w:bookmarkEnd w:id="83"/>
      <w:bookmarkEnd w:id="84"/>
      <w:bookmarkEnd w:id="85"/>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粤港澳大湾区建设、</w:t>
      </w:r>
      <w:r>
        <w:rPr>
          <w:rFonts w:hint="eastAsia" w:ascii="Times New Roman" w:hAnsi="Times New Roman" w:cs="Times New Roman"/>
        </w:rPr>
        <w:t>“</w:t>
      </w:r>
      <w:r>
        <w:rPr>
          <w:rFonts w:ascii="Times New Roman" w:hAnsi="Times New Roman" w:cs="Times New Roman"/>
        </w:rPr>
        <w:t>百千万工程</w:t>
      </w:r>
      <w:r>
        <w:rPr>
          <w:rFonts w:hint="eastAsia" w:ascii="Times New Roman" w:hAnsi="Times New Roman" w:cs="Times New Roman"/>
        </w:rPr>
        <w:t>”</w:t>
      </w:r>
      <w:r>
        <w:rPr>
          <w:rFonts w:ascii="Times New Roman" w:hAnsi="Times New Roman" w:cs="Times New Roman"/>
        </w:rPr>
        <w:t>、乡村振兴等战略深入实施，恩平作为大湾区向西辐射桥头堡、粤西重要农业产区和生态屏障，在基础设施建设、产业承接、生态价值转化、民生服务升级等领域迎来重大投资与运营机遇。</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国资国企改革向纵深推进，要求城投公司从融资平台向市场化经营主体转型，地方政府对专业化、市场化平台公司的需求提升，为北晟集团发挥战略执行载体作用提供了政策空间。</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hint="eastAsia" w:ascii="Times New Roman" w:hAnsi="Times New Roman" w:cs="Times New Roman"/>
        </w:rPr>
        <w:t>“</w:t>
      </w:r>
      <w:r>
        <w:rPr>
          <w:rFonts w:ascii="Times New Roman" w:hAnsi="Times New Roman" w:cs="Times New Roman"/>
        </w:rPr>
        <w:t>双碳</w:t>
      </w:r>
      <w:r>
        <w:rPr>
          <w:rFonts w:hint="eastAsia" w:ascii="Times New Roman" w:hAnsi="Times New Roman" w:cs="Times New Roman"/>
        </w:rPr>
        <w:t>”</w:t>
      </w:r>
      <w:r>
        <w:rPr>
          <w:rFonts w:ascii="Times New Roman" w:hAnsi="Times New Roman" w:cs="Times New Roman"/>
        </w:rPr>
        <w:t>目标推动绿色低碳产业发展，人口老龄化催生银发经济与康养服务需求，城镇化进入存量提质阶段，城市智慧化、精细化运营需求激增，为集团业务拓展提供了新赛道。</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深中通道、黄茅海跨海通道建成通车，恩平正式融入大湾区1小时交通圈，深珠通道规划建设进一步强化其</w:t>
      </w:r>
      <w:r>
        <w:rPr>
          <w:rFonts w:hint="eastAsia" w:ascii="Times New Roman" w:hAnsi="Times New Roman" w:cs="Times New Roman"/>
        </w:rPr>
        <w:t>“</w:t>
      </w:r>
      <w:r>
        <w:rPr>
          <w:rFonts w:ascii="Times New Roman" w:hAnsi="Times New Roman" w:cs="Times New Roman"/>
        </w:rPr>
        <w:t>湾区连接粤西</w:t>
      </w:r>
      <w:r>
        <w:rPr>
          <w:rFonts w:hint="eastAsia" w:ascii="Times New Roman" w:hAnsi="Times New Roman" w:cs="Times New Roman"/>
        </w:rPr>
        <w:t>”</w:t>
      </w:r>
      <w:r>
        <w:rPr>
          <w:rFonts w:ascii="Times New Roman" w:hAnsi="Times New Roman" w:cs="Times New Roman"/>
        </w:rPr>
        <w:t>节点功能，为区域要素流动、产业协同和集团业务发展奠定交通基础。</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rPr>
      </w:pPr>
      <w:bookmarkStart w:id="86" w:name="_Toc19524"/>
      <w:bookmarkStart w:id="87" w:name="_Toc5383"/>
      <w:bookmarkStart w:id="88" w:name="_Toc7966"/>
      <w:bookmarkStart w:id="89" w:name="_Toc18773"/>
      <w:bookmarkStart w:id="90" w:name="_Toc25099"/>
      <w:bookmarkStart w:id="91" w:name="_Toc25444"/>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rPr>
        <w:t>外部挑战</w:t>
      </w:r>
      <w:bookmarkEnd w:id="86"/>
      <w:bookmarkEnd w:id="87"/>
      <w:bookmarkEnd w:id="88"/>
      <w:bookmarkEnd w:id="89"/>
      <w:bookmarkEnd w:id="90"/>
      <w:bookmarkEnd w:id="91"/>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地方债务风险防控趋严，国企债券发行审核从</w:t>
      </w:r>
      <w:r>
        <w:rPr>
          <w:rFonts w:hint="eastAsia" w:ascii="Times New Roman" w:hAnsi="Times New Roman" w:cs="Times New Roman"/>
        </w:rPr>
        <w:t>“</w:t>
      </w:r>
      <w:r>
        <w:rPr>
          <w:rFonts w:ascii="Times New Roman" w:hAnsi="Times New Roman" w:cs="Times New Roman"/>
        </w:rPr>
        <w:t>规模导向</w:t>
      </w:r>
      <w:r>
        <w:rPr>
          <w:rFonts w:hint="eastAsia" w:ascii="Times New Roman" w:hAnsi="Times New Roman" w:cs="Times New Roman"/>
        </w:rPr>
        <w:t>”</w:t>
      </w:r>
      <w:r>
        <w:rPr>
          <w:rFonts w:ascii="Times New Roman" w:hAnsi="Times New Roman" w:cs="Times New Roman"/>
        </w:rPr>
        <w:t>转向</w:t>
      </w:r>
      <w:r>
        <w:rPr>
          <w:rFonts w:hint="eastAsia" w:ascii="Times New Roman" w:hAnsi="Times New Roman" w:cs="Times New Roman"/>
        </w:rPr>
        <w:t>“</w:t>
      </w:r>
      <w:r>
        <w:rPr>
          <w:rFonts w:ascii="Times New Roman" w:hAnsi="Times New Roman" w:cs="Times New Roman"/>
        </w:rPr>
        <w:t>质量导向</w:t>
      </w:r>
      <w:r>
        <w:rPr>
          <w:rFonts w:hint="eastAsia" w:ascii="Times New Roman" w:hAnsi="Times New Roman" w:cs="Times New Roman"/>
        </w:rPr>
        <w:t>”</w:t>
      </w:r>
      <w:r>
        <w:rPr>
          <w:rFonts w:ascii="Times New Roman" w:hAnsi="Times New Roman" w:cs="Times New Roman"/>
        </w:rPr>
        <w:t>，公共服务领域反垄断与公平竞争审查加强；各地城投公司均加速市场化转型，叠加央企、省企及民营企业布局县域市场，行业竞争日趋激烈。</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2024年恩平市GDP、人均GDP均处于江门市低位，财政收入规模有限、自给能力薄弱，本土产业基础仍在升级，对集团的资源支撑和高端产业吸引力存在客观限制。</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区域金融生态、投资氛围有待改善，叠加营商环境优化不充分，一定程度上延缓了产业高质量发展和集团业务拓展进程。</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rPr>
      </w:pPr>
      <w:bookmarkStart w:id="92" w:name="_Toc31624"/>
      <w:bookmarkStart w:id="93" w:name="_Toc24427"/>
      <w:bookmarkStart w:id="94" w:name="_Toc9551"/>
      <w:bookmarkStart w:id="95" w:name="_Toc30249"/>
      <w:bookmarkStart w:id="96" w:name="_Toc14671"/>
      <w:bookmarkStart w:id="97" w:name="_Toc3678"/>
      <w:r>
        <w:rPr>
          <w:rFonts w:hint="eastAsia" w:ascii="Times New Roman" w:hAnsi="Times New Roman" w:eastAsia="楷体_GB2312" w:cs="Times New Roman"/>
          <w:b/>
          <w:bCs/>
          <w:kern w:val="0"/>
          <w:sz w:val="32"/>
          <w:szCs w:val="36"/>
          <w:lang w:val="en-US" w:eastAsia="zh-CN" w:bidi="ar-SA"/>
          <w14:ligatures w14:val="standardContextual"/>
        </w:rPr>
        <w:t>三、</w:t>
      </w:r>
      <w:r>
        <w:rPr>
          <w:rFonts w:ascii="Times New Roman" w:hAnsi="Times New Roman" w:cs="Times New Roman"/>
        </w:rPr>
        <w:t>内部优劣势</w:t>
      </w:r>
      <w:bookmarkEnd w:id="92"/>
      <w:bookmarkEnd w:id="93"/>
      <w:bookmarkEnd w:id="94"/>
      <w:bookmarkEnd w:id="95"/>
      <w:bookmarkEnd w:id="96"/>
      <w:bookmarkEnd w:id="97"/>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核心优势</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一是政策资源优势，作为恩平市核心市场化运作平台，在政策性项目、资金、专项债申报等方面具备天然便利；二是信用与财务优势，拥有AA主体信用评级，资产负债率低，未被纳入融资平台监管名单，融资受限少；三是业务布局优势，已形成五大业务板块，具备业务协同与风险分散潜力；四是历史包袱轻，无沉重债务负担，可集中资源推进市场化转型。</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突出劣势</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一是核心竞争力缺失，在资金实力、专业资质、标杆项目等方面与先进平台公司差距明显；二是治理与运营效率低，决策链条长，子公司管控模式分散，部分下属企业由市直部门代管，统筹协调能力不足；三是资产质量有待提升，资产规模偏小，部分资产流动性不足，变现能力弱；四是机制活力不足，市场化选人用人、激励约束机制尚未健全，员工市场化经营意识有待提升。</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ind w:left="0" w:leftChars="0" w:firstLine="640" w:firstLineChars="200"/>
        <w:textAlignment w:val="auto"/>
        <w:rPr>
          <w:rFonts w:hint="default" w:ascii="Times New Roman" w:hAnsi="Times New Roman" w:cs="Times New Roman"/>
        </w:rPr>
      </w:pPr>
      <w:bookmarkStart w:id="98" w:name="_Toc32656"/>
      <w:bookmarkStart w:id="99" w:name="_Toc10106"/>
      <w:bookmarkStart w:id="100" w:name="_Toc28016"/>
      <w:bookmarkStart w:id="101" w:name="_Toc5103"/>
      <w:bookmarkStart w:id="102" w:name="_Toc10616"/>
      <w:bookmarkStart w:id="103" w:name="_Toc9459"/>
      <w:r>
        <w:rPr>
          <w:rFonts w:hint="eastAsia" w:ascii="Times New Roman" w:hAnsi="Times New Roman" w:eastAsia="黑体" w:cs="Times New Roman"/>
          <w:bCs/>
          <w:kern w:val="44"/>
          <w:sz w:val="32"/>
          <w:szCs w:val="48"/>
          <w:lang w:val="en-US" w:eastAsia="zh-CN" w:bidi="ar-SA"/>
        </w:rPr>
        <w:t xml:space="preserve">第三章 </w:t>
      </w:r>
      <w:r>
        <w:rPr>
          <w:rFonts w:ascii="Times New Roman" w:hAnsi="Times New Roman" w:cs="Times New Roman"/>
        </w:rPr>
        <w:t>总体发展战略</w:t>
      </w:r>
      <w:bookmarkEnd w:id="98"/>
      <w:bookmarkEnd w:id="99"/>
      <w:bookmarkEnd w:id="100"/>
      <w:bookmarkEnd w:id="101"/>
      <w:bookmarkEnd w:id="102"/>
      <w:bookmarkEnd w:id="103"/>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rPr>
      </w:pPr>
      <w:bookmarkStart w:id="104" w:name="_Toc4527"/>
      <w:bookmarkStart w:id="105" w:name="_Toc18562"/>
      <w:bookmarkStart w:id="106" w:name="_Toc17936"/>
      <w:bookmarkStart w:id="107" w:name="_Toc7364"/>
      <w:bookmarkStart w:id="108" w:name="_Toc13171"/>
      <w:bookmarkStart w:id="109" w:name="_Toc24979"/>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rPr>
        <w:t>战略愿景</w:t>
      </w:r>
      <w:bookmarkEnd w:id="104"/>
      <w:bookmarkEnd w:id="105"/>
      <w:bookmarkEnd w:id="106"/>
      <w:bookmarkEnd w:id="107"/>
      <w:bookmarkEnd w:id="108"/>
      <w:bookmarkEnd w:id="109"/>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使命：赋能城市产业转型升级、促进区域经济高质量发展</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愿景：打造粤港澳大湾区西岸卓越的县级国有资本投资运营平台</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价值观：争创效益、深化改革、担当责任、追求卓越</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rPr>
      </w:pPr>
      <w:bookmarkStart w:id="110" w:name="_Toc14562"/>
      <w:bookmarkStart w:id="111" w:name="_Toc4399"/>
      <w:bookmarkStart w:id="112" w:name="_Toc14637"/>
      <w:bookmarkStart w:id="113" w:name="_Toc16513"/>
      <w:bookmarkStart w:id="114" w:name="_Toc6547"/>
      <w:bookmarkStart w:id="115" w:name="_Toc20785"/>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rPr>
        <w:t>战略定位</w:t>
      </w:r>
      <w:bookmarkEnd w:id="110"/>
      <w:bookmarkEnd w:id="111"/>
      <w:bookmarkEnd w:id="112"/>
      <w:bookmarkEnd w:id="113"/>
      <w:bookmarkEnd w:id="114"/>
      <w:bookmarkEnd w:id="115"/>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国有资本投资运营商：以</w:t>
      </w:r>
      <w:r>
        <w:rPr>
          <w:rFonts w:hint="eastAsia" w:ascii="Times New Roman" w:hAnsi="Times New Roman" w:cs="Times New Roman"/>
        </w:rPr>
        <w:t>“</w:t>
      </w:r>
      <w:r>
        <w:rPr>
          <w:rFonts w:ascii="Times New Roman" w:hAnsi="Times New Roman" w:cs="Times New Roman"/>
        </w:rPr>
        <w:t>管资本</w:t>
      </w:r>
      <w:r>
        <w:rPr>
          <w:rFonts w:hint="eastAsia" w:ascii="Times New Roman" w:hAnsi="Times New Roman" w:cs="Times New Roman"/>
        </w:rPr>
        <w:t>”</w:t>
      </w:r>
      <w:r>
        <w:rPr>
          <w:rFonts w:ascii="Times New Roman" w:hAnsi="Times New Roman" w:cs="Times New Roman"/>
        </w:rPr>
        <w:t>为导向，优化国有资本布局，提升资本配置效率与回报水平，服务区域产业升级大局；</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城市综合运营服务商：推动城市建设从开发向运营转型，通过专业化、智慧化运营，提升城市承载力、宜居度和运行效率；</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乡村振兴综合服务商：发挥国有平台资源整合、信用背书优势，破解乡村发展要素瓶颈，成为农业农村现代化的重要市场化力量。</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rPr>
      </w:pPr>
      <w:bookmarkStart w:id="116" w:name="_Toc4499"/>
      <w:bookmarkStart w:id="117" w:name="_Toc24962"/>
      <w:bookmarkStart w:id="118" w:name="_Toc23645"/>
      <w:bookmarkStart w:id="119" w:name="_Toc27018"/>
      <w:bookmarkStart w:id="120" w:name="_Toc2171"/>
      <w:bookmarkStart w:id="121" w:name="_Toc4657"/>
      <w:r>
        <w:rPr>
          <w:rFonts w:hint="eastAsia" w:ascii="Times New Roman" w:hAnsi="Times New Roman" w:eastAsia="楷体_GB2312" w:cs="Times New Roman"/>
          <w:b/>
          <w:bCs/>
          <w:kern w:val="0"/>
          <w:sz w:val="32"/>
          <w:szCs w:val="36"/>
          <w:lang w:val="en-US" w:eastAsia="zh-CN" w:bidi="ar-SA"/>
          <w14:ligatures w14:val="standardContextual"/>
        </w:rPr>
        <w:t>三、</w:t>
      </w:r>
      <w:r>
        <w:rPr>
          <w:rFonts w:ascii="Times New Roman" w:hAnsi="Times New Roman" w:cs="Times New Roman"/>
        </w:rPr>
        <w:t>业务布局</w:t>
      </w:r>
      <w:bookmarkEnd w:id="116"/>
      <w:bookmarkEnd w:id="117"/>
      <w:bookmarkEnd w:id="118"/>
      <w:bookmarkEnd w:id="119"/>
      <w:bookmarkEnd w:id="120"/>
      <w:bookmarkEnd w:id="121"/>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围绕三大功能定位，通过业务筛选、重组与优化，构建</w:t>
      </w:r>
      <w:r>
        <w:rPr>
          <w:rFonts w:hint="eastAsia" w:ascii="Times New Roman" w:hAnsi="Times New Roman" w:cs="Times New Roman"/>
        </w:rPr>
        <w:t>“</w:t>
      </w:r>
      <w:r>
        <w:rPr>
          <w:rFonts w:ascii="Times New Roman" w:hAnsi="Times New Roman" w:cs="Times New Roman"/>
        </w:rPr>
        <w:t>两大核心、一大增长</w:t>
      </w:r>
      <w:r>
        <w:rPr>
          <w:rFonts w:hint="eastAsia" w:ascii="Times New Roman" w:hAnsi="Times New Roman" w:cs="Times New Roman"/>
        </w:rPr>
        <w:t>”</w:t>
      </w:r>
      <w:r>
        <w:rPr>
          <w:rFonts w:ascii="Times New Roman" w:hAnsi="Times New Roman" w:cs="Times New Roman"/>
        </w:rPr>
        <w:t>的业务体系，摒弃分散化发展模式，实现主业聚焦、协同发展：</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核心业务：城市投资建设运营板块、民生服务板块。通过优化运营、提升效率，保障稳定收入和现金流，筑牢集团发展根基；</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ascii="Times New Roman" w:hAnsi="Times New Roman" w:cs="Times New Roman"/>
        </w:rPr>
        <w:t>增长业务：乡村振兴板块。依托投资扩张与模式创新，实现规模快速增长，打造集团新利润中心。</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r>
        <w:rPr>
          <w:rFonts w:ascii="Times New Roman" w:hAnsi="Times New Roman" w:cs="Times New Roman"/>
        </w:rPr>
        <w:t>逐步撤销原能源资源板块，将相关优质资产划转至核心业务板块；剥离产业园区业务，</w:t>
      </w:r>
      <w:r>
        <w:rPr>
          <w:rFonts w:hint="eastAsia" w:ascii="Times New Roman" w:hAnsi="Times New Roman" w:cs="Times New Roman"/>
        </w:rPr>
        <w:t>将现有园区公司的股权及资产整体划转至新设立的园区公司，新园区公司由管委会履行出资人职责，结合区域产业发展需求统筹运营，强化与核心业务的协同联动。</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ind w:left="0" w:leftChars="0" w:firstLine="640" w:firstLineChars="200"/>
        <w:textAlignment w:val="auto"/>
        <w:rPr>
          <w:rFonts w:hint="default" w:ascii="Times New Roman" w:hAnsi="Times New Roman" w:cs="Times New Roman"/>
        </w:rPr>
      </w:pPr>
      <w:bookmarkStart w:id="122" w:name="_Toc29223"/>
      <w:bookmarkStart w:id="123" w:name="_Toc29163"/>
      <w:bookmarkStart w:id="124" w:name="_Toc20297"/>
      <w:bookmarkStart w:id="125" w:name="_Toc26622"/>
      <w:bookmarkStart w:id="126" w:name="_Toc24127"/>
      <w:bookmarkStart w:id="127" w:name="_Toc11354"/>
      <w:r>
        <w:rPr>
          <w:rFonts w:hint="eastAsia" w:ascii="Times New Roman" w:hAnsi="Times New Roman" w:eastAsia="黑体" w:cs="Times New Roman"/>
          <w:bCs/>
          <w:kern w:val="44"/>
          <w:sz w:val="32"/>
          <w:szCs w:val="48"/>
          <w:lang w:val="en-US" w:eastAsia="zh-CN" w:bidi="ar-SA"/>
        </w:rPr>
        <w:t xml:space="preserve">第四章 </w:t>
      </w:r>
      <w:r>
        <w:rPr>
          <w:rFonts w:ascii="Times New Roman" w:hAnsi="Times New Roman" w:cs="Times New Roman"/>
        </w:rPr>
        <w:t>发展目标</w:t>
      </w:r>
      <w:bookmarkEnd w:id="122"/>
      <w:bookmarkEnd w:id="123"/>
      <w:bookmarkEnd w:id="124"/>
      <w:bookmarkEnd w:id="125"/>
      <w:bookmarkEnd w:id="126"/>
      <w:bookmarkEnd w:id="127"/>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hint="eastAsia" w:ascii="Times New Roman" w:hAnsi="Times New Roman" w:cs="Times New Roman"/>
        </w:rPr>
        <w:t>到2030年，全面建成资产优质、主业聚焦、治理规范、效益显著，在粤港澳大湾区西岸具备较强影响力与核心竞争力的标杆性县级国有资本投资运营平台。具体目标包括：</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left="0" w:leftChars="0" w:firstLine="640" w:firstLineChars="200"/>
        <w:textAlignment w:val="auto"/>
        <w:rPr>
          <w:rFonts w:ascii="Times New Roman" w:hAnsi="Times New Roman" w:cs="Times New Roman"/>
        </w:rPr>
      </w:pPr>
      <w:r>
        <w:rPr>
          <w:rFonts w:hint="default" w:ascii="Times New Roman" w:hAnsi="Times New Roman" w:eastAsia="仿宋_GB2312" w:cs="Times New Roman"/>
          <w:kern w:val="2"/>
          <w:sz w:val="32"/>
          <w:szCs w:val="24"/>
          <w:lang w:val="en-US" w:eastAsia="zh-CN" w:bidi="ar-SA"/>
        </w:rPr>
        <w:t>(1)</w:t>
      </w:r>
      <w:r>
        <w:rPr>
          <w:rFonts w:hint="eastAsia" w:ascii="Times New Roman" w:hAnsi="Times New Roman" w:cs="Times New Roman"/>
        </w:rPr>
        <w:t>资产规模破百亿，营业收入翻一番；</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left="0" w:leftChars="0" w:firstLine="640" w:firstLineChars="200"/>
        <w:textAlignment w:val="auto"/>
        <w:rPr>
          <w:rFonts w:ascii="Times New Roman" w:hAnsi="Times New Roman" w:cs="Times New Roman"/>
        </w:rPr>
      </w:pPr>
      <w:r>
        <w:rPr>
          <w:rFonts w:hint="default" w:ascii="Times New Roman" w:hAnsi="Times New Roman" w:eastAsia="仿宋_GB2312" w:cs="Times New Roman"/>
          <w:kern w:val="2"/>
          <w:sz w:val="32"/>
          <w:szCs w:val="24"/>
          <w:lang w:val="en-US" w:eastAsia="zh-CN" w:bidi="ar-SA"/>
        </w:rPr>
        <w:t>(2)</w:t>
      </w:r>
      <w:r>
        <w:rPr>
          <w:rFonts w:hint="eastAsia" w:ascii="Times New Roman" w:hAnsi="Times New Roman" w:cs="Times New Roman"/>
        </w:rPr>
        <w:t>企业评级资信提升到</w:t>
      </w:r>
      <w:r>
        <w:rPr>
          <w:rFonts w:hint="eastAsia" w:ascii="Times New Roman" w:hAnsi="Times New Roman" w:cs="Times New Roman"/>
          <w:shd w:val="clear" w:color="auto" w:fill="FFFFFF"/>
        </w:rPr>
        <w:t>AA+级主体信用等级</w:t>
      </w:r>
      <w:r>
        <w:rPr>
          <w:rFonts w:hint="eastAsia" w:ascii="Times New Roman" w:hAnsi="Times New Roman" w:cs="Times New Roman"/>
        </w:rPr>
        <w:t>资质；</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left="0" w:leftChars="0" w:firstLine="640" w:firstLineChars="200"/>
        <w:textAlignment w:val="auto"/>
        <w:rPr>
          <w:rFonts w:ascii="Times New Roman" w:hAnsi="Times New Roman" w:cs="Times New Roman"/>
        </w:rPr>
      </w:pPr>
      <w:r>
        <w:rPr>
          <w:rFonts w:hint="default" w:ascii="Times New Roman" w:hAnsi="Times New Roman" w:eastAsia="仿宋_GB2312" w:cs="Times New Roman"/>
          <w:kern w:val="2"/>
          <w:sz w:val="32"/>
          <w:szCs w:val="24"/>
          <w:lang w:val="en-US" w:eastAsia="zh-CN" w:bidi="ar-SA"/>
        </w:rPr>
        <w:t>(3)</w:t>
      </w:r>
      <w:r>
        <w:rPr>
          <w:rFonts w:hint="eastAsia" w:ascii="Times New Roman" w:hAnsi="Times New Roman" w:cs="Times New Roman"/>
        </w:rPr>
        <w:t>努力提升经营业务核心竞争力，力争部分子公司达到AA-</w:t>
      </w:r>
      <w:r>
        <w:rPr>
          <w:rFonts w:hint="eastAsia" w:ascii="Times New Roman" w:hAnsi="Times New Roman" w:cs="Times New Roman"/>
          <w:shd w:val="clear" w:color="auto" w:fill="FFFFFF"/>
        </w:rPr>
        <w:t>级主体信用等级潜力</w:t>
      </w:r>
      <w:r>
        <w:rPr>
          <w:rFonts w:hint="eastAsia" w:ascii="Times New Roman" w:hAnsi="Times New Roman" w:cs="Times New Roman"/>
        </w:rPr>
        <w:t>。</w:t>
      </w:r>
    </w:p>
    <w:p>
      <w:pPr>
        <w:pStyle w:val="11"/>
        <w:ind w:firstLine="480"/>
        <w:rPr>
          <w:rFonts w:ascii="Times New Roman" w:hAnsi="Times New Roman" w:eastAsia="宋体" w:cs="Times New Roman"/>
        </w:rPr>
      </w:pPr>
      <w:r>
        <w:rPr>
          <w:rFonts w:hint="eastAsia" w:ascii="Times New Roman" w:hAnsi="Times New Roman" w:cs="Times New Roman"/>
          <w:lang w:val="en-US" w:eastAsia="zh-CN"/>
        </w:rPr>
        <w:t>附</w:t>
      </w:r>
      <w:r>
        <w:rPr>
          <w:rFonts w:ascii="Times New Roman" w:hAnsi="Times New Roman" w:cs="Times New Roman"/>
        </w:rPr>
        <w:t>表</w:t>
      </w:r>
      <w:r>
        <w:rPr>
          <w:rFonts w:hint="eastAsia" w:ascii="Times New Roman" w:hAnsi="Times New Roman" w:cs="Times New Roman"/>
          <w:lang w:val="en-US" w:eastAsia="zh-CN"/>
        </w:rPr>
        <w:t>1-</w:t>
      </w:r>
      <w:r>
        <w:rPr>
          <w:rFonts w:hint="eastAsia" w:ascii="Times New Roman" w:hAnsi="Times New Roman" w:cs="Times New Roman"/>
        </w:rPr>
        <w:t>1“十五五”北晟集团主要经济目标（亿元）</w:t>
      </w:r>
    </w:p>
    <w:tbl>
      <w:tblPr>
        <w:tblStyle w:val="17"/>
        <w:tblW w:w="8429" w:type="dxa"/>
        <w:tblInd w:w="93" w:type="dxa"/>
        <w:tblLayout w:type="fixed"/>
        <w:tblCellMar>
          <w:top w:w="0" w:type="dxa"/>
          <w:left w:w="108" w:type="dxa"/>
          <w:bottom w:w="0" w:type="dxa"/>
          <w:right w:w="108" w:type="dxa"/>
        </w:tblCellMar>
      </w:tblPr>
      <w:tblGrid>
        <w:gridCol w:w="1243"/>
        <w:gridCol w:w="1475"/>
        <w:gridCol w:w="1413"/>
        <w:gridCol w:w="1412"/>
        <w:gridCol w:w="1413"/>
        <w:gridCol w:w="1473"/>
      </w:tblGrid>
      <w:tr>
        <w:tblPrEx>
          <w:tblCellMar>
            <w:top w:w="0" w:type="dxa"/>
            <w:left w:w="108" w:type="dxa"/>
            <w:bottom w:w="0" w:type="dxa"/>
            <w:right w:w="108" w:type="dxa"/>
          </w:tblCellMar>
        </w:tblPrEx>
        <w:trPr>
          <w:trHeight w:val="405" w:hRule="atLeast"/>
        </w:trPr>
        <w:tc>
          <w:tcPr>
            <w:tcW w:w="124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widowControl/>
              <w:spacing w:line="240" w:lineRule="auto"/>
              <w:ind w:firstLine="0" w:firstLineChars="0"/>
              <w:jc w:val="center"/>
              <w:textAlignment w:val="center"/>
              <w:rPr>
                <w:rFonts w:ascii="Times New Roman" w:hAnsi="Times New Roman" w:cs="Times New Roman"/>
                <w:b/>
                <w:bCs/>
                <w:sz w:val="24"/>
              </w:rPr>
            </w:pPr>
            <w:r>
              <w:rPr>
                <w:rFonts w:hint="eastAsia" w:ascii="Times New Roman" w:hAnsi="Times New Roman" w:cs="Times New Roman"/>
                <w:b/>
                <w:bCs/>
                <w:kern w:val="0"/>
                <w:sz w:val="24"/>
                <w:lang w:bidi="ar"/>
              </w:rPr>
              <w:t>目标</w:t>
            </w:r>
          </w:p>
        </w:tc>
        <w:tc>
          <w:tcPr>
            <w:tcW w:w="14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ascii="Times New Roman" w:hAnsi="Times New Roman" w:cs="Times New Roman"/>
                <w:b/>
                <w:bCs/>
                <w:sz w:val="24"/>
              </w:rPr>
            </w:pPr>
            <w:r>
              <w:rPr>
                <w:rFonts w:hint="eastAsia" w:ascii="Times New Roman" w:hAnsi="Times New Roman" w:cs="Times New Roman"/>
                <w:b/>
                <w:bCs/>
                <w:kern w:val="0"/>
                <w:sz w:val="24"/>
                <w:lang w:bidi="ar"/>
              </w:rPr>
              <w:t>2026年</w:t>
            </w:r>
          </w:p>
        </w:tc>
        <w:tc>
          <w:tcPr>
            <w:tcW w:w="141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ascii="Times New Roman" w:hAnsi="Times New Roman" w:cs="Times New Roman"/>
                <w:b/>
                <w:bCs/>
                <w:sz w:val="24"/>
              </w:rPr>
            </w:pPr>
            <w:r>
              <w:rPr>
                <w:rFonts w:hint="eastAsia" w:ascii="Times New Roman" w:hAnsi="Times New Roman" w:cs="Times New Roman"/>
                <w:b/>
                <w:bCs/>
                <w:kern w:val="0"/>
                <w:sz w:val="24"/>
                <w:lang w:bidi="ar"/>
              </w:rPr>
              <w:t>2027年</w:t>
            </w:r>
          </w:p>
        </w:tc>
        <w:tc>
          <w:tcPr>
            <w:tcW w:w="14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ascii="Times New Roman" w:hAnsi="Times New Roman" w:cs="Times New Roman"/>
                <w:b/>
                <w:bCs/>
                <w:sz w:val="24"/>
              </w:rPr>
            </w:pPr>
            <w:r>
              <w:rPr>
                <w:rFonts w:hint="eastAsia" w:ascii="Times New Roman" w:hAnsi="Times New Roman" w:cs="Times New Roman"/>
                <w:b/>
                <w:bCs/>
                <w:kern w:val="0"/>
                <w:sz w:val="24"/>
                <w:lang w:bidi="ar"/>
              </w:rPr>
              <w:t>2028年</w:t>
            </w:r>
          </w:p>
        </w:tc>
        <w:tc>
          <w:tcPr>
            <w:tcW w:w="141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ascii="Times New Roman" w:hAnsi="Times New Roman" w:cs="Times New Roman"/>
                <w:b/>
                <w:bCs/>
                <w:sz w:val="24"/>
              </w:rPr>
            </w:pPr>
            <w:r>
              <w:rPr>
                <w:rFonts w:hint="eastAsia" w:ascii="Times New Roman" w:hAnsi="Times New Roman" w:cs="Times New Roman"/>
                <w:b/>
                <w:bCs/>
                <w:kern w:val="0"/>
                <w:sz w:val="24"/>
                <w:lang w:bidi="ar"/>
              </w:rPr>
              <w:t>2029年</w:t>
            </w:r>
          </w:p>
        </w:tc>
        <w:tc>
          <w:tcPr>
            <w:tcW w:w="147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ascii="Times New Roman" w:hAnsi="Times New Roman" w:cs="Times New Roman"/>
                <w:b/>
                <w:bCs/>
                <w:sz w:val="24"/>
              </w:rPr>
            </w:pPr>
            <w:r>
              <w:rPr>
                <w:rFonts w:hint="eastAsia" w:ascii="Times New Roman" w:hAnsi="Times New Roman" w:cs="Times New Roman"/>
                <w:b/>
                <w:bCs/>
                <w:kern w:val="0"/>
                <w:sz w:val="24"/>
                <w:lang w:bidi="ar"/>
              </w:rPr>
              <w:t>2030年</w:t>
            </w:r>
          </w:p>
        </w:tc>
      </w:tr>
      <w:tr>
        <w:tblPrEx>
          <w:tblCellMar>
            <w:top w:w="0" w:type="dxa"/>
            <w:left w:w="108" w:type="dxa"/>
            <w:bottom w:w="0" w:type="dxa"/>
            <w:right w:w="108" w:type="dxa"/>
          </w:tblCellMar>
        </w:tblPrEx>
        <w:trPr>
          <w:trHeight w:val="405" w:hRule="atLeast"/>
        </w:trPr>
        <w:tc>
          <w:tcPr>
            <w:tcW w:w="124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widowControl/>
              <w:spacing w:line="240" w:lineRule="auto"/>
              <w:ind w:firstLine="0" w:firstLineChars="0"/>
              <w:jc w:val="center"/>
              <w:textAlignment w:val="center"/>
              <w:rPr>
                <w:rFonts w:ascii="Times New Roman" w:hAnsi="Times New Roman" w:cs="Times New Roman"/>
                <w:b/>
                <w:bCs/>
                <w:sz w:val="24"/>
              </w:rPr>
            </w:pPr>
            <w:r>
              <w:rPr>
                <w:rFonts w:hint="eastAsia" w:ascii="Times New Roman" w:hAnsi="Times New Roman" w:cs="Times New Roman"/>
                <w:b/>
                <w:bCs/>
                <w:kern w:val="0"/>
                <w:sz w:val="24"/>
                <w:lang w:bidi="ar"/>
              </w:rPr>
              <w:t>资产规模</w:t>
            </w:r>
          </w:p>
        </w:tc>
        <w:tc>
          <w:tcPr>
            <w:tcW w:w="14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sz w:val="24"/>
                <w:lang w:val="en-US" w:eastAsia="zh-CN"/>
              </w:rPr>
              <w:t>83</w:t>
            </w:r>
          </w:p>
        </w:tc>
        <w:tc>
          <w:tcPr>
            <w:tcW w:w="141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sz w:val="24"/>
                <w:lang w:val="en-US" w:eastAsia="zh-CN"/>
              </w:rPr>
              <w:t>100</w:t>
            </w:r>
          </w:p>
        </w:tc>
        <w:tc>
          <w:tcPr>
            <w:tcW w:w="14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kern w:val="0"/>
                <w:sz w:val="24"/>
                <w:lang w:bidi="ar"/>
              </w:rPr>
              <w:t>10</w:t>
            </w:r>
            <w:r>
              <w:rPr>
                <w:rFonts w:hint="eastAsia" w:ascii="Times New Roman" w:hAnsi="Times New Roman" w:cs="Times New Roman"/>
                <w:kern w:val="0"/>
                <w:sz w:val="24"/>
                <w:lang w:val="en-US" w:eastAsia="zh-CN" w:bidi="ar"/>
              </w:rPr>
              <w:t>7</w:t>
            </w:r>
          </w:p>
        </w:tc>
        <w:tc>
          <w:tcPr>
            <w:tcW w:w="141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kern w:val="0"/>
                <w:sz w:val="24"/>
                <w:lang w:bidi="ar"/>
              </w:rPr>
              <w:t>12</w:t>
            </w:r>
            <w:r>
              <w:rPr>
                <w:rFonts w:hint="eastAsia" w:ascii="Times New Roman" w:hAnsi="Times New Roman" w:cs="Times New Roman"/>
                <w:kern w:val="0"/>
                <w:sz w:val="24"/>
                <w:lang w:val="en-US" w:eastAsia="zh-CN" w:bidi="ar"/>
              </w:rPr>
              <w:t>7</w:t>
            </w:r>
          </w:p>
        </w:tc>
        <w:tc>
          <w:tcPr>
            <w:tcW w:w="147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kern w:val="0"/>
                <w:sz w:val="24"/>
                <w:lang w:bidi="ar"/>
              </w:rPr>
              <w:t>12</w:t>
            </w:r>
            <w:r>
              <w:rPr>
                <w:rFonts w:hint="eastAsia" w:ascii="Times New Roman" w:hAnsi="Times New Roman" w:cs="Times New Roman"/>
                <w:kern w:val="0"/>
                <w:sz w:val="24"/>
                <w:lang w:val="en-US" w:eastAsia="zh-CN" w:bidi="ar"/>
              </w:rPr>
              <w:t>8</w:t>
            </w:r>
          </w:p>
        </w:tc>
      </w:tr>
      <w:tr>
        <w:tblPrEx>
          <w:tblCellMar>
            <w:top w:w="0" w:type="dxa"/>
            <w:left w:w="108" w:type="dxa"/>
            <w:bottom w:w="0" w:type="dxa"/>
            <w:right w:w="108" w:type="dxa"/>
          </w:tblCellMar>
        </w:tblPrEx>
        <w:trPr>
          <w:trHeight w:val="405" w:hRule="atLeast"/>
        </w:trPr>
        <w:tc>
          <w:tcPr>
            <w:tcW w:w="124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widowControl/>
              <w:spacing w:line="240" w:lineRule="auto"/>
              <w:ind w:firstLine="0" w:firstLineChars="0"/>
              <w:jc w:val="center"/>
              <w:textAlignment w:val="center"/>
              <w:rPr>
                <w:rFonts w:ascii="Times New Roman" w:hAnsi="Times New Roman" w:cs="Times New Roman"/>
                <w:b/>
                <w:bCs/>
                <w:sz w:val="24"/>
              </w:rPr>
            </w:pPr>
            <w:r>
              <w:rPr>
                <w:rFonts w:hint="eastAsia" w:ascii="Times New Roman" w:hAnsi="Times New Roman" w:cs="Times New Roman"/>
                <w:b/>
                <w:bCs/>
                <w:kern w:val="0"/>
                <w:sz w:val="24"/>
                <w:lang w:bidi="ar"/>
              </w:rPr>
              <w:t>营收</w:t>
            </w:r>
          </w:p>
        </w:tc>
        <w:tc>
          <w:tcPr>
            <w:tcW w:w="14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kern w:val="0"/>
                <w:sz w:val="24"/>
                <w:lang w:bidi="ar"/>
              </w:rPr>
              <w:t>2.</w:t>
            </w:r>
            <w:r>
              <w:rPr>
                <w:rFonts w:hint="eastAsia" w:ascii="Times New Roman" w:hAnsi="Times New Roman" w:cs="Times New Roman"/>
                <w:kern w:val="0"/>
                <w:sz w:val="24"/>
                <w:lang w:val="en-US" w:eastAsia="zh-CN" w:bidi="ar"/>
              </w:rPr>
              <w:t>64</w:t>
            </w:r>
          </w:p>
        </w:tc>
        <w:tc>
          <w:tcPr>
            <w:tcW w:w="141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sz w:val="24"/>
              </w:rPr>
              <w:t>3.</w:t>
            </w:r>
            <w:r>
              <w:rPr>
                <w:rFonts w:hint="eastAsia" w:ascii="Times New Roman" w:hAnsi="Times New Roman" w:cs="Times New Roman"/>
                <w:sz w:val="24"/>
                <w:lang w:val="en-US" w:eastAsia="zh-CN"/>
              </w:rPr>
              <w:t>63</w:t>
            </w:r>
          </w:p>
        </w:tc>
        <w:tc>
          <w:tcPr>
            <w:tcW w:w="14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kern w:val="0"/>
                <w:sz w:val="24"/>
                <w:lang w:bidi="ar"/>
              </w:rPr>
              <w:t>4.</w:t>
            </w:r>
            <w:r>
              <w:rPr>
                <w:rFonts w:hint="eastAsia" w:ascii="Times New Roman" w:hAnsi="Times New Roman" w:cs="Times New Roman"/>
                <w:kern w:val="0"/>
                <w:sz w:val="24"/>
                <w:lang w:val="en-US" w:eastAsia="zh-CN" w:bidi="ar"/>
              </w:rPr>
              <w:t>52</w:t>
            </w:r>
          </w:p>
        </w:tc>
        <w:tc>
          <w:tcPr>
            <w:tcW w:w="141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kern w:val="0"/>
                <w:sz w:val="24"/>
                <w:lang w:bidi="ar"/>
              </w:rPr>
              <w:t>4.8</w:t>
            </w:r>
            <w:r>
              <w:rPr>
                <w:rFonts w:hint="eastAsia" w:ascii="Times New Roman" w:hAnsi="Times New Roman" w:cs="Times New Roman"/>
                <w:kern w:val="0"/>
                <w:sz w:val="24"/>
                <w:lang w:val="en-US" w:eastAsia="zh-CN" w:bidi="ar"/>
              </w:rPr>
              <w:t>9</w:t>
            </w:r>
          </w:p>
        </w:tc>
        <w:tc>
          <w:tcPr>
            <w:tcW w:w="147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kern w:val="0"/>
                <w:sz w:val="24"/>
                <w:lang w:bidi="ar"/>
              </w:rPr>
              <w:t>5.</w:t>
            </w:r>
            <w:r>
              <w:rPr>
                <w:rFonts w:hint="eastAsia" w:ascii="Times New Roman" w:hAnsi="Times New Roman" w:cs="Times New Roman"/>
                <w:kern w:val="0"/>
                <w:sz w:val="24"/>
                <w:lang w:val="en-US" w:eastAsia="zh-CN" w:bidi="ar"/>
              </w:rPr>
              <w:t>11</w:t>
            </w:r>
          </w:p>
        </w:tc>
      </w:tr>
      <w:tr>
        <w:tblPrEx>
          <w:tblCellMar>
            <w:top w:w="0" w:type="dxa"/>
            <w:left w:w="108" w:type="dxa"/>
            <w:bottom w:w="0" w:type="dxa"/>
            <w:right w:w="108" w:type="dxa"/>
          </w:tblCellMar>
        </w:tblPrEx>
        <w:trPr>
          <w:trHeight w:val="405" w:hRule="atLeast"/>
        </w:trPr>
        <w:tc>
          <w:tcPr>
            <w:tcW w:w="124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widowControl/>
              <w:spacing w:line="240" w:lineRule="auto"/>
              <w:ind w:firstLine="0" w:firstLineChars="0"/>
              <w:jc w:val="center"/>
              <w:textAlignment w:val="center"/>
              <w:rPr>
                <w:rFonts w:ascii="Times New Roman" w:hAnsi="Times New Roman" w:cs="Times New Roman"/>
                <w:b/>
                <w:bCs/>
                <w:sz w:val="24"/>
              </w:rPr>
            </w:pPr>
            <w:r>
              <w:rPr>
                <w:rFonts w:hint="eastAsia" w:ascii="Times New Roman" w:hAnsi="Times New Roman" w:cs="Times New Roman"/>
                <w:b/>
                <w:bCs/>
                <w:kern w:val="0"/>
                <w:sz w:val="24"/>
                <w:lang w:bidi="ar"/>
              </w:rPr>
              <w:t>净利润</w:t>
            </w:r>
          </w:p>
        </w:tc>
        <w:tc>
          <w:tcPr>
            <w:tcW w:w="14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kern w:val="0"/>
                <w:sz w:val="24"/>
                <w:lang w:bidi="ar"/>
              </w:rPr>
              <w:t>0.3</w:t>
            </w:r>
            <w:r>
              <w:rPr>
                <w:rFonts w:hint="eastAsia" w:ascii="Times New Roman" w:hAnsi="Times New Roman" w:cs="Times New Roman"/>
                <w:kern w:val="0"/>
                <w:sz w:val="24"/>
                <w:lang w:val="en-US" w:eastAsia="zh-CN" w:bidi="ar"/>
              </w:rPr>
              <w:t>4</w:t>
            </w:r>
          </w:p>
        </w:tc>
        <w:tc>
          <w:tcPr>
            <w:tcW w:w="141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kern w:val="0"/>
                <w:sz w:val="24"/>
                <w:lang w:bidi="ar"/>
              </w:rPr>
              <w:t>0.4</w:t>
            </w:r>
            <w:r>
              <w:rPr>
                <w:rFonts w:hint="eastAsia" w:ascii="Times New Roman" w:hAnsi="Times New Roman" w:cs="Times New Roman"/>
                <w:kern w:val="0"/>
                <w:sz w:val="24"/>
                <w:lang w:val="en-US" w:eastAsia="zh-CN" w:bidi="ar"/>
              </w:rPr>
              <w:t>8</w:t>
            </w:r>
          </w:p>
        </w:tc>
        <w:tc>
          <w:tcPr>
            <w:tcW w:w="14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kern w:val="0"/>
                <w:sz w:val="24"/>
                <w:lang w:bidi="ar"/>
              </w:rPr>
              <w:t>0.6</w:t>
            </w:r>
            <w:r>
              <w:rPr>
                <w:rFonts w:hint="eastAsia" w:ascii="Times New Roman" w:hAnsi="Times New Roman" w:cs="Times New Roman"/>
                <w:kern w:val="0"/>
                <w:sz w:val="24"/>
                <w:lang w:val="en-US" w:eastAsia="zh-CN" w:bidi="ar"/>
              </w:rPr>
              <w:t>4</w:t>
            </w:r>
          </w:p>
        </w:tc>
        <w:tc>
          <w:tcPr>
            <w:tcW w:w="141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kern w:val="0"/>
                <w:sz w:val="24"/>
                <w:lang w:bidi="ar"/>
              </w:rPr>
              <w:t>0.7</w:t>
            </w:r>
            <w:r>
              <w:rPr>
                <w:rFonts w:hint="eastAsia" w:ascii="Times New Roman" w:hAnsi="Times New Roman" w:cs="Times New Roman"/>
                <w:kern w:val="0"/>
                <w:sz w:val="24"/>
                <w:lang w:val="en-US" w:eastAsia="zh-CN" w:bidi="ar"/>
              </w:rPr>
              <w:t>3</w:t>
            </w:r>
          </w:p>
        </w:tc>
        <w:tc>
          <w:tcPr>
            <w:tcW w:w="147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ascii="Times New Roman" w:hAnsi="Times New Roman" w:cs="Times New Roman"/>
                <w:sz w:val="24"/>
              </w:rPr>
            </w:pPr>
            <w:r>
              <w:rPr>
                <w:rFonts w:hint="eastAsia" w:ascii="Times New Roman" w:hAnsi="Times New Roman" w:cs="Times New Roman"/>
                <w:kern w:val="0"/>
                <w:sz w:val="24"/>
                <w:lang w:bidi="ar"/>
              </w:rPr>
              <w:t>0.</w:t>
            </w:r>
            <w:r>
              <w:rPr>
                <w:rFonts w:hint="eastAsia" w:ascii="Times New Roman" w:hAnsi="Times New Roman" w:cs="Times New Roman"/>
                <w:kern w:val="0"/>
                <w:sz w:val="24"/>
                <w:lang w:val="en-US" w:eastAsia="zh-CN" w:bidi="ar"/>
              </w:rPr>
              <w:t>81</w:t>
            </w:r>
          </w:p>
        </w:tc>
      </w:tr>
      <w:tr>
        <w:tblPrEx>
          <w:tblCellMar>
            <w:top w:w="0" w:type="dxa"/>
            <w:left w:w="108" w:type="dxa"/>
            <w:bottom w:w="0" w:type="dxa"/>
            <w:right w:w="108" w:type="dxa"/>
          </w:tblCellMar>
        </w:tblPrEx>
        <w:trPr>
          <w:trHeight w:val="405" w:hRule="atLeast"/>
        </w:trPr>
        <w:tc>
          <w:tcPr>
            <w:tcW w:w="124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widowControl/>
              <w:spacing w:line="240" w:lineRule="auto"/>
              <w:ind w:firstLine="0" w:firstLineChars="0"/>
              <w:jc w:val="center"/>
              <w:textAlignment w:val="center"/>
              <w:rPr>
                <w:rFonts w:ascii="Times New Roman" w:hAnsi="Times New Roman" w:cs="Times New Roman"/>
                <w:b/>
                <w:bCs/>
                <w:sz w:val="24"/>
              </w:rPr>
            </w:pPr>
            <w:r>
              <w:rPr>
                <w:rFonts w:hint="eastAsia" w:ascii="Times New Roman" w:hAnsi="Times New Roman" w:cs="Times New Roman"/>
                <w:b/>
                <w:bCs/>
                <w:kern w:val="0"/>
                <w:sz w:val="24"/>
                <w:lang w:bidi="ar"/>
              </w:rPr>
              <w:t>负债率</w:t>
            </w:r>
          </w:p>
        </w:tc>
        <w:tc>
          <w:tcPr>
            <w:tcW w:w="7186"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ascii="Times New Roman" w:hAnsi="Times New Roman" w:cs="Times New Roman"/>
                <w:sz w:val="24"/>
              </w:rPr>
            </w:pPr>
            <w:r>
              <w:rPr>
                <w:rFonts w:hint="eastAsia" w:ascii="Times New Roman" w:hAnsi="Times New Roman" w:cs="Times New Roman"/>
                <w:kern w:val="0"/>
                <w:sz w:val="24"/>
                <w:lang w:bidi="ar"/>
              </w:rPr>
              <w:t>不超过65%</w:t>
            </w:r>
          </w:p>
        </w:tc>
      </w:tr>
      <w:tr>
        <w:tblPrEx>
          <w:tblCellMar>
            <w:top w:w="0" w:type="dxa"/>
            <w:left w:w="108" w:type="dxa"/>
            <w:bottom w:w="0" w:type="dxa"/>
            <w:right w:w="108" w:type="dxa"/>
          </w:tblCellMar>
        </w:tblPrEx>
        <w:trPr>
          <w:trHeight w:val="405" w:hRule="atLeast"/>
        </w:trPr>
        <w:tc>
          <w:tcPr>
            <w:tcW w:w="124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widowControl/>
              <w:spacing w:line="240" w:lineRule="auto"/>
              <w:ind w:firstLine="0" w:firstLineChars="0"/>
              <w:jc w:val="center"/>
              <w:textAlignment w:val="center"/>
              <w:rPr>
                <w:rFonts w:ascii="Times New Roman" w:hAnsi="Times New Roman" w:cs="Times New Roman"/>
                <w:b/>
                <w:bCs/>
                <w:sz w:val="24"/>
              </w:rPr>
            </w:pPr>
            <w:r>
              <w:rPr>
                <w:rFonts w:hint="eastAsia" w:ascii="Times New Roman" w:hAnsi="Times New Roman" w:cs="Times New Roman"/>
                <w:b/>
                <w:bCs/>
                <w:kern w:val="0"/>
                <w:sz w:val="24"/>
                <w:lang w:bidi="ar"/>
              </w:rPr>
              <w:t>评级</w:t>
            </w:r>
          </w:p>
        </w:tc>
        <w:tc>
          <w:tcPr>
            <w:tcW w:w="7186"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ascii="Times New Roman" w:hAnsi="Times New Roman" w:cs="Times New Roman"/>
                <w:sz w:val="24"/>
              </w:rPr>
            </w:pPr>
            <w:r>
              <w:rPr>
                <w:rFonts w:hint="eastAsia" w:ascii="Times New Roman" w:hAnsi="Times New Roman" w:cs="Times New Roman"/>
                <w:kern w:val="0"/>
                <w:sz w:val="24"/>
                <w:lang w:bidi="ar"/>
              </w:rPr>
              <w:t>AA+</w:t>
            </w:r>
          </w:p>
        </w:tc>
      </w:tr>
    </w:tbl>
    <w:p>
      <w:pPr>
        <w:pStyle w:val="2"/>
        <w:numPr>
          <w:ilvl w:val="0"/>
          <w:numId w:val="0"/>
        </w:numPr>
        <w:spacing w:before="156" w:after="156"/>
        <w:ind w:left="0" w:leftChars="0" w:firstLine="0" w:firstLineChars="0"/>
        <w:jc w:val="center"/>
        <w:rPr>
          <w:rFonts w:hint="default" w:ascii="Times New Roman" w:hAnsi="Times New Roman" w:cs="Times New Roman"/>
        </w:rPr>
      </w:pPr>
      <w:bookmarkStart w:id="128" w:name="_Toc7529"/>
      <w:bookmarkStart w:id="129" w:name="_Toc7434"/>
      <w:bookmarkStart w:id="130" w:name="_Toc15707"/>
      <w:bookmarkStart w:id="131" w:name="_Toc8696"/>
      <w:bookmarkStart w:id="132" w:name="_Toc9215"/>
      <w:bookmarkStart w:id="133" w:name="_Toc22533"/>
      <w:r>
        <w:rPr>
          <w:rFonts w:hint="eastAsia" w:ascii="Times New Roman" w:hAnsi="Times New Roman" w:eastAsia="黑体" w:cs="Times New Roman"/>
          <w:bCs/>
          <w:kern w:val="44"/>
          <w:sz w:val="32"/>
          <w:szCs w:val="48"/>
          <w:lang w:val="en-US" w:eastAsia="zh-CN" w:bidi="ar-SA"/>
        </w:rPr>
        <w:t xml:space="preserve">第五章 </w:t>
      </w:r>
      <w:r>
        <w:rPr>
          <w:rFonts w:ascii="Times New Roman" w:hAnsi="Times New Roman" w:cs="Times New Roman"/>
        </w:rPr>
        <w:t>业务发展规划</w:t>
      </w:r>
      <w:bookmarkEnd w:id="128"/>
      <w:bookmarkEnd w:id="129"/>
      <w:bookmarkEnd w:id="130"/>
      <w:bookmarkEnd w:id="131"/>
      <w:bookmarkEnd w:id="132"/>
      <w:bookmarkEnd w:id="133"/>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rPr>
      </w:pPr>
      <w:bookmarkStart w:id="134" w:name="_Toc23186"/>
      <w:bookmarkStart w:id="135" w:name="_Toc8736"/>
      <w:bookmarkStart w:id="136" w:name="_Toc1218"/>
      <w:bookmarkStart w:id="137" w:name="_Toc12228"/>
      <w:bookmarkStart w:id="138" w:name="_Toc1945"/>
      <w:bookmarkStart w:id="139" w:name="_Toc21941"/>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rPr>
        <w:t>城市投资建设运营板块</w:t>
      </w:r>
      <w:bookmarkEnd w:id="134"/>
      <w:bookmarkEnd w:id="135"/>
      <w:bookmarkEnd w:id="136"/>
      <w:bookmarkEnd w:id="137"/>
      <w:bookmarkEnd w:id="138"/>
      <w:bookmarkEnd w:id="139"/>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业务</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r>
        <w:rPr>
          <w:rFonts w:hint="eastAsia" w:ascii="Times New Roman" w:hAnsi="Times New Roman" w:eastAsia="仿宋_GB2312" w:cs="Times New Roman"/>
          <w:i w:val="0"/>
          <w:iCs w:val="0"/>
          <w:caps w:val="0"/>
          <w:color w:val="auto"/>
          <w:spacing w:val="0"/>
          <w:sz w:val="32"/>
          <w:szCs w:val="24"/>
          <w:shd w:val="clear" w:fill="auto"/>
        </w:rPr>
        <w:t>聚焦基础设施、民生工程、城市更新、交通路网、人居环境整治等核心领域，推行“投融建运一体化”模式。业务</w:t>
      </w:r>
      <w:r>
        <w:rPr>
          <w:rFonts w:hint="eastAsia" w:ascii="Times New Roman" w:hAnsi="Times New Roman" w:cs="Times New Roman"/>
          <w:i w:val="0"/>
          <w:iCs w:val="0"/>
          <w:caps w:val="0"/>
          <w:spacing w:val="0"/>
          <w:sz w:val="32"/>
          <w:szCs w:val="24"/>
          <w:shd w:val="clear"/>
          <w:lang w:val="en-US" w:eastAsia="zh-CN"/>
        </w:rPr>
        <w:t>涵盖</w:t>
      </w:r>
      <w:r>
        <w:rPr>
          <w:rFonts w:hint="eastAsia" w:ascii="Times New Roman" w:hAnsi="Times New Roman" w:eastAsia="仿宋_GB2312" w:cs="Times New Roman"/>
          <w:i w:val="0"/>
          <w:iCs w:val="0"/>
          <w:caps w:val="0"/>
          <w:color w:val="auto"/>
          <w:spacing w:val="0"/>
          <w:sz w:val="32"/>
          <w:szCs w:val="24"/>
          <w:shd w:val="clear" w:fill="auto"/>
        </w:rPr>
        <w:t>四</w:t>
      </w:r>
      <w:r>
        <w:rPr>
          <w:rFonts w:hint="eastAsia" w:ascii="Times New Roman" w:hAnsi="Times New Roman" w:cs="Times New Roman"/>
          <w:i w:val="0"/>
          <w:iCs w:val="0"/>
          <w:caps w:val="0"/>
          <w:spacing w:val="0"/>
          <w:sz w:val="32"/>
          <w:szCs w:val="24"/>
          <w:shd w:val="clear"/>
          <w:lang w:val="en-US" w:eastAsia="zh-CN"/>
        </w:rPr>
        <w:t>大领域</w:t>
      </w:r>
      <w:r>
        <w:rPr>
          <w:rFonts w:hint="eastAsia" w:ascii="Times New Roman" w:hAnsi="Times New Roman" w:eastAsia="仿宋_GB2312" w:cs="Times New Roman"/>
          <w:i w:val="0"/>
          <w:iCs w:val="0"/>
          <w:caps w:val="0"/>
          <w:color w:val="auto"/>
          <w:spacing w:val="0"/>
          <w:sz w:val="32"/>
          <w:szCs w:val="24"/>
          <w:shd w:val="clear" w:fill="auto"/>
        </w:rPr>
        <w:t>：一是城市开发与投资，二是工程建设与实施，三是生产性服务，四是建材保障。</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主体</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eastAsia="仿宋_GB2312" w:cs="Times New Roman"/>
          <w:i w:val="0"/>
          <w:iCs w:val="0"/>
          <w:caps w:val="0"/>
          <w:color w:val="auto"/>
          <w:spacing w:val="0"/>
          <w:sz w:val="32"/>
          <w:szCs w:val="24"/>
          <w:shd w:val="clear" w:fill="auto"/>
        </w:rPr>
      </w:pPr>
      <w:r>
        <w:rPr>
          <w:rFonts w:hint="eastAsia" w:ascii="Times New Roman" w:hAnsi="Times New Roman" w:eastAsia="仿宋_GB2312" w:cs="Times New Roman"/>
          <w:i w:val="0"/>
          <w:iCs w:val="0"/>
          <w:caps w:val="0"/>
          <w:color w:val="auto"/>
          <w:spacing w:val="0"/>
          <w:sz w:val="32"/>
          <w:szCs w:val="24"/>
          <w:shd w:val="clear" w:fill="auto"/>
        </w:rPr>
        <w:t>通过</w:t>
      </w:r>
      <w:r>
        <w:rPr>
          <w:rFonts w:hint="eastAsia" w:ascii="Times New Roman" w:hAnsi="Times New Roman" w:cs="Times New Roman"/>
          <w:i w:val="0"/>
          <w:iCs w:val="0"/>
          <w:caps w:val="0"/>
          <w:color w:val="auto"/>
          <w:spacing w:val="0"/>
          <w:sz w:val="32"/>
          <w:szCs w:val="24"/>
          <w:shd w:val="clear" w:fill="auto"/>
          <w:lang w:val="en-US" w:eastAsia="zh-CN"/>
        </w:rPr>
        <w:t>并购</w:t>
      </w:r>
      <w:r>
        <w:rPr>
          <w:rFonts w:hint="eastAsia" w:ascii="Times New Roman" w:hAnsi="Times New Roman" w:eastAsia="仿宋_GB2312" w:cs="Times New Roman"/>
          <w:i w:val="0"/>
          <w:iCs w:val="0"/>
          <w:caps w:val="0"/>
          <w:color w:val="auto"/>
          <w:spacing w:val="0"/>
          <w:sz w:val="32"/>
          <w:szCs w:val="24"/>
          <w:shd w:val="clear" w:fill="auto"/>
        </w:rPr>
        <w:t>方式，组建一家控股的施工企业作为板块二级核心平台。以北晟集团目前持有的三家合资施工企业股权作价出资，并补充部分货币资金，实现对该新设公司的控股。选择一家具备房建一级、市政一级资质的大型施工企业作为合作方，</w:t>
      </w:r>
      <w:r>
        <w:rPr>
          <w:rFonts w:hint="eastAsia" w:ascii="Times New Roman" w:hAnsi="Times New Roman" w:cs="Times New Roman"/>
          <w:i w:val="0"/>
          <w:iCs w:val="0"/>
          <w:caps w:val="0"/>
          <w:color w:val="auto"/>
          <w:spacing w:val="0"/>
          <w:sz w:val="32"/>
          <w:szCs w:val="24"/>
          <w:shd w:val="clear" w:fill="auto"/>
          <w:lang w:val="en-US" w:eastAsia="zh-CN"/>
        </w:rPr>
        <w:t>依法依规办理资质承继手续</w:t>
      </w:r>
      <w:r>
        <w:rPr>
          <w:rFonts w:hint="eastAsia" w:ascii="Times New Roman" w:hAnsi="Times New Roman" w:eastAsia="仿宋_GB2312" w:cs="Times New Roman"/>
          <w:i w:val="0"/>
          <w:iCs w:val="0"/>
          <w:caps w:val="0"/>
          <w:color w:val="auto"/>
          <w:spacing w:val="0"/>
          <w:sz w:val="32"/>
          <w:szCs w:val="24"/>
          <w:shd w:val="clear" w:fill="auto"/>
        </w:rPr>
        <w:t>。原三家合资施工企业成为该新设公司的子公司，实现资源整合。</w:t>
      </w:r>
    </w:p>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cs="Times New Roman"/>
        </w:rPr>
      </w:pPr>
      <w:r>
        <w:drawing>
          <wp:inline distT="0" distB="0" distL="114300" distR="114300">
            <wp:extent cx="4436745" cy="6478270"/>
            <wp:effectExtent l="0" t="0" r="1905" b="17780"/>
            <wp:docPr id="168"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7"/>
                    <pic:cNvPicPr>
                      <a:picLocks noChangeAspect="1"/>
                    </pic:cNvPicPr>
                  </pic:nvPicPr>
                  <pic:blipFill>
                    <a:blip r:embed="rId18"/>
                    <a:stretch>
                      <a:fillRect/>
                    </a:stretch>
                  </pic:blipFill>
                  <pic:spPr>
                    <a:xfrm>
                      <a:off x="0" y="0"/>
                      <a:ext cx="4436745" cy="6478270"/>
                    </a:xfrm>
                    <a:prstGeom prst="rect">
                      <a:avLst/>
                    </a:prstGeom>
                  </pic:spPr>
                </pic:pic>
              </a:graphicData>
            </a:graphic>
          </wp:inline>
        </w:drawing>
      </w:r>
    </w:p>
    <w:p>
      <w:pPr>
        <w:pStyle w:val="11"/>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cs="Times New Roman"/>
        </w:rPr>
      </w:pPr>
      <w:r>
        <w:rPr>
          <w:rFonts w:hint="eastAsia" w:ascii="Times New Roman" w:hAnsi="Times New Roman" w:cs="Times New Roman"/>
          <w:lang w:val="en-US" w:eastAsia="zh-CN"/>
        </w:rPr>
        <w:t>附</w:t>
      </w:r>
      <w:r>
        <w:rPr>
          <w:rFonts w:ascii="Times New Roman" w:hAnsi="Times New Roman" w:cs="Times New Roman"/>
        </w:rPr>
        <w:t>图</w:t>
      </w:r>
      <w:r>
        <w:rPr>
          <w:rFonts w:hint="eastAsia" w:ascii="Times New Roman" w:hAnsi="Times New Roman" w:cs="Times New Roman"/>
          <w:lang w:val="en-US" w:eastAsia="zh-CN"/>
        </w:rPr>
        <w:t>1-</w:t>
      </w:r>
      <w:r>
        <w:rPr>
          <w:rFonts w:ascii="Times New Roman" w:hAnsi="Times New Roman" w:cs="Times New Roman"/>
        </w:rPr>
        <w:fldChar w:fldCharType="begin"/>
      </w:r>
      <w:r>
        <w:rPr>
          <w:rFonts w:ascii="Times New Roman" w:hAnsi="Times New Roman" w:cs="Times New Roman"/>
        </w:rPr>
        <w:instrText xml:space="preserve"> SEQ 图 \* ARABIC \s 1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hint="eastAsia" w:ascii="Times New Roman" w:hAnsi="Times New Roman" w:cs="Times New Roman"/>
        </w:rPr>
        <w:t>城市投资建设运营板块远期架构图</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3．</w:t>
      </w:r>
      <w:r>
        <w:rPr>
          <w:rFonts w:ascii="Times New Roman" w:hAnsi="Times New Roman" w:cs="Times New Roman"/>
        </w:rPr>
        <w:t>发展思路</w:t>
      </w:r>
    </w:p>
    <w:p>
      <w:pPr>
        <w:pStyle w:val="22"/>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hint="eastAsia" w:ascii="Times New Roman" w:hAnsi="Times New Roman" w:cs="Times New Roman"/>
        </w:rPr>
        <w:t>从被动承接项目向主动谋划布局转变，依托本地资源与政策支持，</w:t>
      </w:r>
      <w:r>
        <w:rPr>
          <w:rFonts w:hint="eastAsia" w:ascii="Times New Roman" w:hAnsi="Times New Roman" w:cs="Times New Roman"/>
          <w:lang w:val="en-US" w:eastAsia="zh-CN"/>
        </w:rPr>
        <w:t>积极参与政府专项债项目、政策性金融项目的申报与实施，提升项目策划与承接能力，积极参与市场化竞争</w:t>
      </w:r>
      <w:r>
        <w:rPr>
          <w:rFonts w:hint="eastAsia" w:ascii="Times New Roman" w:hAnsi="Times New Roman" w:cs="Times New Roman"/>
        </w:rPr>
        <w:t>；​</w:t>
      </w:r>
    </w:p>
    <w:p>
      <w:pPr>
        <w:pStyle w:val="22"/>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hint="eastAsia" w:ascii="Times New Roman" w:hAnsi="Times New Roman" w:cs="Times New Roman"/>
        </w:rPr>
        <w:t>从单一施工业务向全产业链服务转变，以工程施工为核心，向上延伸投融资、策划设计环节、拓展建材保障，向下与民生服务板块协同拓展运营维护业务，构建闭环产业链优势；​</w:t>
      </w:r>
    </w:p>
    <w:p>
      <w:pPr>
        <w:pStyle w:val="22"/>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hint="eastAsia" w:ascii="Times New Roman" w:hAnsi="Times New Roman" w:cs="Times New Roman"/>
        </w:rPr>
        <w:t>从外部协同依赖向核心能力内化转变，通过并购整合、机制创新、技术赋能，培育自主项目管理、技术研发、成本控制与风险防控能力，夯实市场化发展基础。</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4．</w:t>
      </w:r>
      <w:r>
        <w:rPr>
          <w:rFonts w:ascii="Times New Roman" w:hAnsi="Times New Roman" w:cs="Times New Roman"/>
        </w:rPr>
        <w:t>发展策略</w:t>
      </w:r>
    </w:p>
    <w:p>
      <w:pPr>
        <w:pStyle w:val="5"/>
        <w:keepNext w:val="0"/>
        <w:keepLines w:val="0"/>
        <w:pageBreakBefore w:val="0"/>
        <w:widowControl w:val="0"/>
        <w:numPr>
          <w:ilvl w:val="3"/>
          <w:numId w:val="0"/>
        </w:numPr>
        <w:kinsoku/>
        <w:wordWrap/>
        <w:overflowPunct/>
        <w:topLinePunct w:val="0"/>
        <w:autoSpaceDE/>
        <w:autoSpaceDN/>
        <w:bidi w:val="0"/>
        <w:adjustRightInd/>
        <w:snapToGrid/>
        <w:spacing w:beforeAutospacing="0" w:afterAutospacing="0"/>
        <w:ind w:left="0" w:leftChars="0" w:firstLine="640" w:firstLineChars="200"/>
        <w:textAlignment w:val="auto"/>
        <w:rPr>
          <w:rFonts w:hint="default" w:ascii="Times New Roman" w:hAnsi="Times New Roman" w:cs="Times New Roman"/>
        </w:rPr>
      </w:pPr>
      <w:r>
        <w:rPr>
          <w:rFonts w:hint="eastAsia" w:ascii="Times New Roman" w:hAnsi="Times New Roman" w:eastAsia="仿宋_GB2312" w:cs="Times New Roman"/>
          <w:bCs/>
          <w:kern w:val="0"/>
          <w:sz w:val="32"/>
          <w:szCs w:val="24"/>
          <w:lang w:val="en-US" w:eastAsia="zh-CN" w:bidi="ar-SA"/>
        </w:rPr>
        <w:t>（1）</w:t>
      </w:r>
      <w:r>
        <w:rPr>
          <w:rFonts w:ascii="Times New Roman" w:hAnsi="Times New Roman" w:cs="Times New Roman"/>
        </w:rPr>
        <w:t>实施战略性控股并购，培育核心业务主体</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hint="eastAsia" w:ascii="Times New Roman" w:hAnsi="Times New Roman" w:cs="Times New Roman"/>
        </w:rPr>
        <w:t>通过资本运作控股并购一家具备高等级施工资质的工程类企业，快速获取成熟业绩、专业团队及施工能力，破解管控薄弱、利润分流等痛点。整合施工企业资源</w:t>
      </w:r>
      <w:r>
        <w:rPr>
          <w:rFonts w:hint="eastAsia" w:ascii="Times New Roman" w:hAnsi="Times New Roman" w:cs="Times New Roman"/>
          <w:lang w:eastAsia="zh-CN"/>
        </w:rPr>
        <w:t>，</w:t>
      </w:r>
      <w:r>
        <w:rPr>
          <w:rFonts w:hint="eastAsia" w:ascii="Times New Roman" w:hAnsi="Times New Roman" w:cs="Times New Roman"/>
        </w:rPr>
        <w:t>将其打造为板块核心二级平台，未来集团主要施工项目统一交由该新设控股公司承揽实施</w:t>
      </w:r>
      <w:r>
        <w:rPr>
          <w:rFonts w:hint="eastAsia" w:ascii="Times New Roman" w:hAnsi="Times New Roman" w:cs="Times New Roman"/>
          <w:lang w:eastAsia="zh-CN"/>
        </w:rPr>
        <w:t>。</w:t>
      </w:r>
    </w:p>
    <w:p>
      <w:pPr>
        <w:pStyle w:val="5"/>
        <w:keepNext w:val="0"/>
        <w:keepLines w:val="0"/>
        <w:pageBreakBefore w:val="0"/>
        <w:widowControl w:val="0"/>
        <w:numPr>
          <w:ilvl w:val="3"/>
          <w:numId w:val="0"/>
        </w:numPr>
        <w:kinsoku/>
        <w:wordWrap/>
        <w:overflowPunct/>
        <w:topLinePunct w:val="0"/>
        <w:autoSpaceDE/>
        <w:autoSpaceDN/>
        <w:bidi w:val="0"/>
        <w:adjustRightInd/>
        <w:snapToGrid/>
        <w:spacing w:beforeAutospacing="0" w:afterAutospacing="0"/>
        <w:ind w:left="0" w:leftChars="0" w:firstLine="640" w:firstLineChars="200"/>
        <w:textAlignment w:val="auto"/>
        <w:rPr>
          <w:rFonts w:hint="default" w:ascii="Times New Roman" w:hAnsi="Times New Roman" w:cs="Times New Roman"/>
        </w:rPr>
      </w:pPr>
      <w:r>
        <w:rPr>
          <w:rFonts w:hint="eastAsia" w:ascii="Times New Roman" w:hAnsi="Times New Roman" w:eastAsia="仿宋_GB2312" w:cs="Times New Roman"/>
          <w:bCs/>
          <w:kern w:val="0"/>
          <w:sz w:val="32"/>
          <w:szCs w:val="24"/>
          <w:lang w:val="en-US" w:eastAsia="zh-CN" w:bidi="ar-SA"/>
        </w:rPr>
        <w:t>（2）</w:t>
      </w:r>
      <w:r>
        <w:rPr>
          <w:rFonts w:ascii="Times New Roman" w:hAnsi="Times New Roman" w:cs="Times New Roman"/>
        </w:rPr>
        <w:t>创新项目运作模式，强化价值创造能力</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r>
        <w:rPr>
          <w:rFonts w:hint="eastAsia" w:ascii="Times New Roman" w:hAnsi="Times New Roman" w:cs="Times New Roman"/>
        </w:rPr>
        <w:t>建立与政府常态化对接机制，储备市级重点项目资源，提升前端策划与投融资方案设计能力。依托粤科恩基金开展产业投资，探索“基金+项目”联动模式，实现投资与建设相互赋能。推行投建一体化模式，构建全流程管理体系。培育复合型人才队伍，搭建建材集中采购平台，沉淀项目管理、成本控制等核心能力。</w:t>
      </w:r>
    </w:p>
    <w:p>
      <w:pPr>
        <w:pStyle w:val="5"/>
        <w:keepNext w:val="0"/>
        <w:keepLines w:val="0"/>
        <w:pageBreakBefore w:val="0"/>
        <w:widowControl w:val="0"/>
        <w:numPr>
          <w:ilvl w:val="3"/>
          <w:numId w:val="0"/>
        </w:numPr>
        <w:kinsoku/>
        <w:wordWrap/>
        <w:overflowPunct/>
        <w:topLinePunct w:val="0"/>
        <w:autoSpaceDE/>
        <w:autoSpaceDN/>
        <w:bidi w:val="0"/>
        <w:adjustRightInd/>
        <w:snapToGrid/>
        <w:spacing w:beforeAutospacing="0" w:afterAutospacing="0"/>
        <w:ind w:left="0" w:leftChars="0" w:firstLine="640" w:firstLineChars="200"/>
        <w:textAlignment w:val="auto"/>
        <w:rPr>
          <w:rFonts w:hint="default" w:ascii="Times New Roman" w:hAnsi="Times New Roman" w:cs="Times New Roman"/>
        </w:rPr>
      </w:pPr>
      <w:r>
        <w:rPr>
          <w:rFonts w:hint="eastAsia" w:ascii="Times New Roman" w:hAnsi="Times New Roman" w:eastAsia="仿宋_GB2312" w:cs="Times New Roman"/>
          <w:bCs/>
          <w:kern w:val="0"/>
          <w:sz w:val="32"/>
          <w:szCs w:val="24"/>
          <w:lang w:val="en-US" w:eastAsia="zh-CN" w:bidi="ar-SA"/>
        </w:rPr>
        <w:t>（3）</w:t>
      </w:r>
      <w:r>
        <w:rPr>
          <w:rFonts w:ascii="Times New Roman" w:hAnsi="Times New Roman" w:cs="Times New Roman"/>
        </w:rPr>
        <w:t>构建全产业链布局，实现协同高效发展</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default" w:ascii="Times New Roman" w:hAnsi="Times New Roman" w:cs="Times New Roman"/>
        </w:rPr>
      </w:pPr>
      <w:r>
        <w:rPr>
          <w:rFonts w:hint="eastAsia" w:ascii="Times New Roman" w:hAnsi="Times New Roman" w:cs="Times New Roman"/>
        </w:rPr>
        <w:t>深化恩源规划设计院业务协同，补强前端策划设计短板；向控股施工公司派驻核心管理层，引入数字化建造技术，强化施工管控；保障焜盛混凝土管理公司高效运营，布局新型建材业务，构建自主建材保障链；联动民生服务板块，统筹项目建设与后期运营，培育市政运维、资产经营等后端服务能力。同时，依托建筑工程质量检测公司，为板块内项目提供全过程质量管控服务，确保工程品质。</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rPr>
      </w:pPr>
      <w:bookmarkStart w:id="140" w:name="_Toc12429"/>
      <w:bookmarkStart w:id="141" w:name="_Toc6663"/>
      <w:bookmarkStart w:id="142" w:name="_Toc27665"/>
      <w:bookmarkStart w:id="143" w:name="_Toc20138"/>
      <w:bookmarkStart w:id="144" w:name="_Toc16073"/>
      <w:bookmarkStart w:id="145" w:name="_Toc4681"/>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rPr>
        <w:t>民生服务板块</w:t>
      </w:r>
      <w:bookmarkEnd w:id="140"/>
      <w:bookmarkEnd w:id="141"/>
      <w:bookmarkEnd w:id="142"/>
      <w:bookmarkEnd w:id="143"/>
      <w:bookmarkEnd w:id="144"/>
      <w:bookmarkEnd w:id="145"/>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rPr>
      </w:pPr>
      <w:bookmarkStart w:id="146" w:name="_Toc10657"/>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业务</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hint="eastAsia" w:ascii="Times New Roman" w:hAnsi="Times New Roman" w:cs="Times New Roman"/>
        </w:rPr>
        <w:t>业务涵盖四大核心业务领域。一是物业管理，包括基础物业运维、保安服务，拓展高校后勤服务、商业物业管理等业务领域；二是城市服务，涉及智慧停车、新能源充电桩、农贸市场管理、农村污水处理、环卫一体化、城市管家、供水、供电、市政设施运维等；三是文体服务，包含体育场馆运营、赛事策划执行、文体旅融合项目开发、文体+夜市等；四是社区服务，重点布局社区康养领域。</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主体</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r>
        <w:rPr>
          <w:rFonts w:hint="eastAsia" w:ascii="Times New Roman" w:hAnsi="Times New Roman" w:cs="Times New Roman"/>
        </w:rPr>
        <w:t>以恩平市公用事业投资经营管理有限公司为主体，推动集团内部同类业务整合，重点对城市服务、文体旅游、社区康养等板块的下属子公司进行合并重组，消除同质化竞争，促进资源集中配置，实现统一管控。</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drawing>
          <wp:anchor distT="0" distB="0" distL="114300" distR="114300" simplePos="0" relativeHeight="251659264" behindDoc="0" locked="0" layoutInCell="1" allowOverlap="1">
            <wp:simplePos x="0" y="0"/>
            <wp:positionH relativeFrom="column">
              <wp:posOffset>-771525</wp:posOffset>
            </wp:positionH>
            <wp:positionV relativeFrom="paragraph">
              <wp:posOffset>29845</wp:posOffset>
            </wp:positionV>
            <wp:extent cx="7078980" cy="5043805"/>
            <wp:effectExtent l="0" t="0" r="7620" b="4445"/>
            <wp:wrapSquare wrapText="bothSides"/>
            <wp:docPr id="173" name="图片 172"/>
            <wp:cNvGraphicFramePr/>
            <a:graphic xmlns:a="http://schemas.openxmlformats.org/drawingml/2006/main">
              <a:graphicData uri="http://schemas.openxmlformats.org/drawingml/2006/picture">
                <pic:pic xmlns:pic="http://schemas.openxmlformats.org/drawingml/2006/picture">
                  <pic:nvPicPr>
                    <pic:cNvPr id="173" name="图片 172"/>
                    <pic:cNvPicPr/>
                  </pic:nvPicPr>
                  <pic:blipFill>
                    <a:blip r:embed="rId19"/>
                    <a:stretch>
                      <a:fillRect/>
                    </a:stretch>
                  </pic:blipFill>
                  <pic:spPr>
                    <a:xfrm>
                      <a:off x="0" y="0"/>
                      <a:ext cx="7078980" cy="5043805"/>
                    </a:xfrm>
                    <a:prstGeom prst="rect">
                      <a:avLst/>
                    </a:prstGeom>
                  </pic:spPr>
                </pic:pic>
              </a:graphicData>
            </a:graphic>
          </wp:anchor>
        </w:drawing>
      </w:r>
    </w:p>
    <w:p>
      <w:pPr>
        <w:pStyle w:val="11"/>
        <w:spacing w:line="240" w:lineRule="auto"/>
        <w:ind w:firstLine="0" w:firstLineChars="0"/>
        <w:rPr>
          <w:rFonts w:ascii="Times New Roman" w:hAnsi="Times New Roman" w:cs="Times New Roman"/>
        </w:rPr>
      </w:pPr>
      <w:r>
        <w:rPr>
          <w:rFonts w:hint="eastAsia" w:ascii="Times New Roman" w:hAnsi="Times New Roman" w:cs="Times New Roman"/>
          <w:lang w:val="en-US" w:eastAsia="zh-CN"/>
        </w:rPr>
        <w:t>附</w:t>
      </w:r>
      <w:r>
        <w:rPr>
          <w:rFonts w:ascii="Times New Roman" w:hAnsi="Times New Roman" w:cs="Times New Roman"/>
        </w:rPr>
        <w:t>图</w:t>
      </w:r>
      <w:r>
        <w:rPr>
          <w:rFonts w:hint="eastAsia" w:ascii="Times New Roman" w:hAnsi="Times New Roman" w:cs="Times New Roman"/>
          <w:lang w:val="en-US" w:eastAsia="zh-CN"/>
        </w:rPr>
        <w:t>1-</w:t>
      </w:r>
      <w:r>
        <w:rPr>
          <w:rFonts w:ascii="Times New Roman" w:hAnsi="Times New Roman" w:cs="Times New Roman"/>
        </w:rPr>
        <w:fldChar w:fldCharType="begin"/>
      </w:r>
      <w:r>
        <w:rPr>
          <w:rFonts w:ascii="Times New Roman" w:hAnsi="Times New Roman" w:cs="Times New Roman"/>
        </w:rPr>
        <w:instrText xml:space="preserve"> SEQ 图 \* ARABIC \s 1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hint="eastAsia" w:ascii="Times New Roman" w:hAnsi="Times New Roman" w:cs="Times New Roman"/>
        </w:rPr>
        <w:t>民生服务板块远期架构图</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3．</w:t>
      </w:r>
      <w:r>
        <w:rPr>
          <w:rFonts w:ascii="Times New Roman" w:hAnsi="Times New Roman" w:cs="Times New Roman"/>
        </w:rPr>
        <w:t>发展思路</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r>
        <w:rPr>
          <w:rFonts w:hint="eastAsia" w:ascii="Times New Roman" w:hAnsi="Times New Roman" w:cs="Times New Roman"/>
        </w:rPr>
        <w:t>从分散运营向统筹协同转变：整合城市服务、文体旅游、社区康养、数字科技四大领域资源，合并同类业务子公司，打造统一城市服务品牌，建立统一运营体系，避免内部同质化竞争，提升资源利用效率与业务协同效应。</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r>
        <w:rPr>
          <w:rFonts w:hint="eastAsia" w:ascii="Times New Roman" w:hAnsi="Times New Roman" w:cs="Times New Roman"/>
        </w:rPr>
        <w:t>从基础服务向多元增值转变：在稳固物业运维、市政管养等基础业务的同时，拓展高校后勤、文体旅融合、社区康养、数字科技等高附加值业务，培育新的利润增长点。</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r>
        <w:rPr>
          <w:rFonts w:hint="eastAsia" w:ascii="Times New Roman" w:hAnsi="Times New Roman" w:cs="Times New Roman"/>
        </w:rPr>
        <w:t>从传统模式向市场化转变：探索特许经营、政府购买服务、合资合作等多元模式，增强市场化运营能力，构建可持续发展的民生服务生态。</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4．</w:t>
      </w:r>
      <w:r>
        <w:rPr>
          <w:rFonts w:ascii="Times New Roman" w:hAnsi="Times New Roman" w:cs="Times New Roman"/>
        </w:rPr>
        <w:t>发展策略</w:t>
      </w:r>
    </w:p>
    <w:p>
      <w:pPr>
        <w:pStyle w:val="5"/>
        <w:keepNext w:val="0"/>
        <w:keepLines w:val="0"/>
        <w:pageBreakBefore w:val="0"/>
        <w:widowControl w:val="0"/>
        <w:numPr>
          <w:ilvl w:val="3"/>
          <w:numId w:val="0"/>
        </w:numPr>
        <w:kinsoku/>
        <w:wordWrap/>
        <w:overflowPunct/>
        <w:topLinePunct w:val="0"/>
        <w:autoSpaceDE/>
        <w:autoSpaceDN/>
        <w:bidi w:val="0"/>
        <w:adjustRightInd/>
        <w:snapToGrid/>
        <w:spacing w:beforeAutospacing="0" w:afterAutospacing="0"/>
        <w:ind w:left="0" w:leftChars="0" w:firstLine="640" w:firstLineChars="200"/>
        <w:textAlignment w:val="auto"/>
        <w:rPr>
          <w:rFonts w:hint="default" w:ascii="Times New Roman" w:hAnsi="Times New Roman" w:cs="Times New Roman"/>
        </w:rPr>
      </w:pPr>
      <w:r>
        <w:rPr>
          <w:rFonts w:hint="eastAsia" w:ascii="Times New Roman" w:hAnsi="Times New Roman" w:eastAsia="仿宋_GB2312" w:cs="Times New Roman"/>
          <w:bCs/>
          <w:kern w:val="0"/>
          <w:sz w:val="32"/>
          <w:szCs w:val="24"/>
          <w:lang w:val="en-US" w:eastAsia="zh-CN" w:bidi="ar-SA"/>
        </w:rPr>
        <w:t>（1）</w:t>
      </w:r>
      <w:r>
        <w:rPr>
          <w:rFonts w:ascii="Times New Roman" w:hAnsi="Times New Roman" w:cs="Times New Roman"/>
        </w:rPr>
        <w:t>整合资源构建统一平台，夯实业务发展基础​</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lang w:eastAsia="zh-CN"/>
        </w:rPr>
      </w:pPr>
      <w:r>
        <w:rPr>
          <w:rFonts w:hint="eastAsia" w:ascii="Times New Roman" w:hAnsi="Times New Roman" w:cs="Times New Roman"/>
        </w:rPr>
        <w:t>以二级平台恩平市公用事业投资经营管理有限公司为核心，明确其资源统筹、业务管控、市场拓展、绩效管理职能，实现板块业务“一盘棋”管理。优化业务布局，关停并转非核心、低协同业务，集中资源强化主业。推进物业管理、保安服务等同类企业合并重组，组建专业化物管子公司，统一品牌、标准与管理体系，提升规模效应与市场议价能力。同步推进体育中心与体育物业公司合并、文旅公司与健拓文体公司合并、横陂供水并入公用水务等同类业务整合。</w:t>
      </w:r>
    </w:p>
    <w:p>
      <w:pPr>
        <w:pStyle w:val="5"/>
        <w:keepNext w:val="0"/>
        <w:keepLines w:val="0"/>
        <w:pageBreakBefore w:val="0"/>
        <w:widowControl w:val="0"/>
        <w:numPr>
          <w:ilvl w:val="3"/>
          <w:numId w:val="0"/>
        </w:numPr>
        <w:kinsoku/>
        <w:wordWrap/>
        <w:overflowPunct/>
        <w:topLinePunct w:val="0"/>
        <w:autoSpaceDE/>
        <w:autoSpaceDN/>
        <w:bidi w:val="0"/>
        <w:adjustRightInd/>
        <w:snapToGrid/>
        <w:spacing w:beforeAutospacing="0" w:afterAutospacing="0"/>
        <w:ind w:left="0" w:leftChars="0" w:firstLine="640" w:firstLineChars="200"/>
        <w:textAlignment w:val="auto"/>
        <w:rPr>
          <w:rFonts w:hint="default" w:ascii="Times New Roman" w:hAnsi="Times New Roman" w:cs="Times New Roman"/>
        </w:rPr>
      </w:pPr>
      <w:r>
        <w:rPr>
          <w:rFonts w:hint="eastAsia" w:ascii="Times New Roman" w:hAnsi="Times New Roman" w:eastAsia="仿宋_GB2312" w:cs="Times New Roman"/>
          <w:bCs/>
          <w:kern w:val="0"/>
          <w:sz w:val="32"/>
          <w:szCs w:val="24"/>
          <w:lang w:val="en-US" w:eastAsia="zh-CN" w:bidi="ar-SA"/>
        </w:rPr>
        <w:t>（2）</w:t>
      </w:r>
      <w:r>
        <w:rPr>
          <w:rFonts w:ascii="Times New Roman" w:hAnsi="Times New Roman" w:cs="Times New Roman"/>
        </w:rPr>
        <w:t>创新市场化运营机制，激发板块发展活力​</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default" w:ascii="Times New Roman" w:hAnsi="Times New Roman" w:cs="Times New Roman"/>
        </w:rPr>
      </w:pPr>
      <w:r>
        <w:rPr>
          <w:rFonts w:hint="eastAsia" w:ascii="Times New Roman" w:hAnsi="Times New Roman" w:cs="Times New Roman"/>
        </w:rPr>
        <w:t>拓展多元合作模式，在城市管家、环卫一体化等领域与行业头部企业合资合作，引进先进技术与管理经验；在文体旅游、社区康养等竞争性领域稳妥引入社会资本，优化股权结构，提升市场化运营能力。重点推进百里画廊文旅合资公司组建运营，引入专业文旅资源，打造精品项目。</w:t>
      </w:r>
    </w:p>
    <w:p>
      <w:pPr>
        <w:pStyle w:val="5"/>
        <w:keepNext w:val="0"/>
        <w:keepLines w:val="0"/>
        <w:pageBreakBefore w:val="0"/>
        <w:widowControl w:val="0"/>
        <w:numPr>
          <w:ilvl w:val="3"/>
          <w:numId w:val="0"/>
        </w:numPr>
        <w:kinsoku/>
        <w:wordWrap/>
        <w:overflowPunct/>
        <w:topLinePunct w:val="0"/>
        <w:autoSpaceDE/>
        <w:autoSpaceDN/>
        <w:bidi w:val="0"/>
        <w:adjustRightInd/>
        <w:snapToGrid/>
        <w:spacing w:beforeAutospacing="0" w:afterAutospacing="0"/>
        <w:ind w:left="0" w:leftChars="0" w:firstLine="640" w:firstLineChars="200"/>
        <w:textAlignment w:val="auto"/>
        <w:rPr>
          <w:rFonts w:hint="default" w:ascii="Times New Roman" w:hAnsi="Times New Roman" w:cs="Times New Roman"/>
        </w:rPr>
      </w:pPr>
      <w:r>
        <w:rPr>
          <w:rFonts w:hint="eastAsia" w:ascii="Times New Roman" w:hAnsi="Times New Roman" w:eastAsia="仿宋_GB2312" w:cs="Times New Roman"/>
          <w:bCs/>
          <w:kern w:val="0"/>
          <w:sz w:val="32"/>
          <w:szCs w:val="24"/>
          <w:lang w:val="en-US" w:eastAsia="zh-CN" w:bidi="ar-SA"/>
        </w:rPr>
        <w:t>（3）</w:t>
      </w:r>
      <w:r>
        <w:rPr>
          <w:rFonts w:ascii="Times New Roman" w:hAnsi="Times New Roman" w:cs="Times New Roman"/>
        </w:rPr>
        <w:t>聚焦核心业务精准发力，拓展市场与增值空间​</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hint="eastAsia" w:ascii="Times New Roman" w:hAnsi="Times New Roman" w:cs="Times New Roman"/>
        </w:rPr>
        <w:t>城市服务：物业管理方面，稳固住宅、政府物业等基础业务，延伸家政服务、社区零售等增值业务；抢抓高等教育资源引进契机，组建专业团队，为恩平职业教育园等院校提供“物业服务+生活配套+文体运营”一站式后勤服务。供水与能源方面，争取供水、污水处理等公用事业运营权，拓展充电桩网络布局，构建能源服务新业态。环卫一体化方面，整合清扫保洁、垃圾收运、垃圾分类业务，打造“城市管家”模式。市政设施运维方面，承接道路养护、照明维护等长期项目，</w:t>
      </w:r>
      <w:r>
        <w:rPr>
          <w:rFonts w:hint="eastAsia" w:ascii="Times New Roman" w:hAnsi="Times New Roman" w:cs="Times New Roman"/>
          <w:lang w:val="en-US" w:eastAsia="zh-CN"/>
        </w:rPr>
        <w:t>探索</w:t>
      </w:r>
      <w:r>
        <w:rPr>
          <w:rFonts w:hint="eastAsia" w:ascii="Times New Roman" w:hAnsi="Times New Roman" w:cs="Times New Roman"/>
        </w:rPr>
        <w:t>建筑垃圾资源化处理业务，探索固废循环利用新路径。</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r>
        <w:rPr>
          <w:rFonts w:hint="eastAsia" w:ascii="Times New Roman" w:hAnsi="Times New Roman" w:cs="Times New Roman"/>
        </w:rPr>
        <w:t>文体服务：升级改造并专业化运营现有场馆，引入体育培训、文化演艺等业态；依托自然资源与场馆优势，培育“侨BA”、大湾区自行车挑战赛等品牌赛事，开发“赛事+旅游”“体育+夜市”融合产品，延伸产业链价值。重点打造百里画廊文旅项目，以合资公司为主体，统筹沿线文旅资源开发，构建“水陆联动、文旅融合”的精品线路，打造恩平文旅新名片。</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r>
        <w:rPr>
          <w:rFonts w:hint="eastAsia" w:ascii="Times New Roman" w:hAnsi="Times New Roman" w:cs="Times New Roman"/>
        </w:rPr>
        <w:t>社区服务：盘活社区闲置物业建设老年服务站，提供助餐、日间照料等基础服务；深化跨界合作，开发温泉康养、山水康养项目，打造“医养结合”服务模式，构建恩平社区康养特色品牌。</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数字科技：成立数字科技公司，承接智慧政务、智慧城市、智慧园区、数字乡村等项目建设运营，构建“规划-建设-运营”一体化服务能力；探索数据资产化路径，挖掘公共数据资源价值，培育数据运营、数据分析等新兴业务；以数字技术赋能民生服务各领域，推动传统业务数字化转型与智能化升级。</w:t>
      </w:r>
    </w:p>
    <w:bookmarkEnd w:id="146"/>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rPr>
      </w:pPr>
      <w:bookmarkStart w:id="147" w:name="_Toc1916"/>
      <w:bookmarkStart w:id="148" w:name="_Toc24287"/>
      <w:bookmarkStart w:id="149" w:name="_Toc19731"/>
      <w:bookmarkStart w:id="150" w:name="_Toc18717"/>
      <w:bookmarkStart w:id="151" w:name="_Toc18606"/>
      <w:bookmarkStart w:id="152" w:name="_Toc712"/>
      <w:r>
        <w:rPr>
          <w:rFonts w:hint="eastAsia" w:ascii="Times New Roman" w:hAnsi="Times New Roman" w:eastAsia="楷体_GB2312" w:cs="Times New Roman"/>
          <w:b/>
          <w:bCs/>
          <w:kern w:val="0"/>
          <w:sz w:val="32"/>
          <w:szCs w:val="36"/>
          <w:lang w:val="en-US" w:eastAsia="zh-CN" w:bidi="ar-SA"/>
          <w14:ligatures w14:val="standardContextual"/>
        </w:rPr>
        <w:t>三、</w:t>
      </w:r>
      <w:r>
        <w:rPr>
          <w:rFonts w:ascii="Times New Roman" w:hAnsi="Times New Roman" w:cs="Times New Roman"/>
        </w:rPr>
        <w:t>乡村振兴板块</w:t>
      </w:r>
      <w:bookmarkEnd w:id="147"/>
      <w:bookmarkEnd w:id="148"/>
      <w:bookmarkEnd w:id="149"/>
      <w:bookmarkEnd w:id="150"/>
      <w:bookmarkEnd w:id="151"/>
      <w:bookmarkEnd w:id="152"/>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rPr>
        <w:t>业务</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hint="eastAsia" w:ascii="Times New Roman" w:hAnsi="Times New Roman" w:cs="Times New Roman"/>
        </w:rPr>
        <w:t>业务涵盖三大核心领域。一是资源整合与价值转化，包括全域土地、闲置资产等资源整合，林业、农田、湿地等碳汇产品开发，生态资产金融化运作；二是农业全链条服务，涵盖农业生产托管、农资集采、农机服务、冷链物流、品牌营销、智慧农业平台运营等；三是农文旅融合发展，聚焦“温泉+康养”“森林+体验”“农事+研学”等业态，开发康养度假、生态体验、赛事配套、乡村民宿等产品。</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rPr>
        <w:t>主体</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ascii="Times New Roman" w:hAnsi="Times New Roman" w:cs="Times New Roman"/>
        </w:rPr>
      </w:pPr>
      <w:r>
        <w:rPr>
          <w:rFonts w:hint="eastAsia" w:ascii="Times New Roman" w:hAnsi="Times New Roman" w:cs="Times New Roman"/>
        </w:rPr>
        <w:t>以恩平市公有农垦投资开发集团有限公司为核心，组建二级统筹平台，完善治理结构与市场化机制，统筹资源整合、业务运营与产业培育。</w:t>
      </w:r>
    </w:p>
    <w:p>
      <w:pPr>
        <w:spacing w:line="240" w:lineRule="auto"/>
        <w:ind w:firstLine="0" w:firstLineChars="0"/>
        <w:jc w:val="center"/>
        <w:rPr>
          <w:rFonts w:ascii="Times New Roman" w:hAnsi="Times New Roman" w:cs="Times New Roman"/>
        </w:rPr>
      </w:pPr>
      <w:r>
        <w:drawing>
          <wp:inline distT="0" distB="0" distL="114300" distR="114300">
            <wp:extent cx="4941570" cy="5269230"/>
            <wp:effectExtent l="0" t="0" r="11430" b="7620"/>
            <wp:docPr id="5"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72"/>
                    <pic:cNvPicPr>
                      <a:picLocks noChangeAspect="1"/>
                    </pic:cNvPicPr>
                  </pic:nvPicPr>
                  <pic:blipFill>
                    <a:blip r:embed="rId20"/>
                    <a:stretch>
                      <a:fillRect/>
                    </a:stretch>
                  </pic:blipFill>
                  <pic:spPr>
                    <a:xfrm>
                      <a:off x="0" y="0"/>
                      <a:ext cx="4941570" cy="5269230"/>
                    </a:xfrm>
                    <a:prstGeom prst="rect">
                      <a:avLst/>
                    </a:prstGeom>
                  </pic:spPr>
                </pic:pic>
              </a:graphicData>
            </a:graphic>
          </wp:inline>
        </w:drawing>
      </w:r>
    </w:p>
    <w:p>
      <w:pPr>
        <w:pStyle w:val="11"/>
        <w:spacing w:line="240" w:lineRule="auto"/>
        <w:ind w:firstLine="0" w:firstLineChars="0"/>
        <w:rPr>
          <w:rFonts w:ascii="Times New Roman" w:hAnsi="Times New Roman" w:cs="Times New Roman"/>
        </w:rPr>
      </w:pPr>
      <w:r>
        <w:rPr>
          <w:rFonts w:hint="eastAsia" w:ascii="Times New Roman" w:hAnsi="Times New Roman" w:cs="Times New Roman"/>
          <w:lang w:val="en-US" w:eastAsia="zh-CN"/>
        </w:rPr>
        <w:t>附</w:t>
      </w:r>
      <w:r>
        <w:rPr>
          <w:rFonts w:ascii="Times New Roman" w:hAnsi="Times New Roman" w:cs="Times New Roman"/>
        </w:rPr>
        <w:t>图</w:t>
      </w:r>
      <w:r>
        <w:rPr>
          <w:rFonts w:hint="eastAsia" w:ascii="Times New Roman" w:hAnsi="Times New Roman" w:cs="Times New Roman"/>
          <w:lang w:val="en-US" w:eastAsia="zh-CN"/>
        </w:rPr>
        <w:t>1-</w:t>
      </w:r>
      <w:r>
        <w:rPr>
          <w:rFonts w:ascii="Times New Roman" w:hAnsi="Times New Roman" w:cs="Times New Roman"/>
        </w:rPr>
        <w:fldChar w:fldCharType="begin"/>
      </w:r>
      <w:r>
        <w:rPr>
          <w:rFonts w:ascii="Times New Roman" w:hAnsi="Times New Roman" w:cs="Times New Roman"/>
        </w:rPr>
        <w:instrText xml:space="preserve"> SEQ 图 \* ARABIC \s 1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hint="eastAsia" w:ascii="Times New Roman" w:hAnsi="Times New Roman" w:cs="Times New Roman"/>
        </w:rPr>
        <w:t>乡村振兴板块远期架构图</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firstLine="643" w:firstLineChars="200"/>
        <w:textAlignment w:val="auto"/>
        <w:rPr>
          <w:rFonts w:hint="default"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3．</w:t>
      </w:r>
      <w:r>
        <w:rPr>
          <w:rFonts w:ascii="Times New Roman" w:hAnsi="Times New Roman" w:cs="Times New Roman"/>
        </w:rPr>
        <w:t>发展思路</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ascii="Times New Roman" w:hAnsi="Times New Roman" w:cs="Times New Roman"/>
        </w:rPr>
      </w:pPr>
      <w:r>
        <w:rPr>
          <w:rFonts w:hint="eastAsia" w:ascii="Times New Roman" w:hAnsi="Times New Roman" w:cs="Times New Roman"/>
        </w:rPr>
        <w:t>从资源分散运营向全域集约开发转型：深化“1+11+1+N”模式推广，整合土地、生态、闲置资产等分散资源，建立标准化资源管理体系，为规模化运营奠定基础；​</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hint="eastAsia" w:ascii="Times New Roman" w:hAnsi="Times New Roman" w:cs="Times New Roman"/>
        </w:rPr>
      </w:pPr>
      <w:r>
        <w:rPr>
          <w:rFonts w:hint="eastAsia" w:ascii="Times New Roman" w:hAnsi="Times New Roman" w:cs="Times New Roman"/>
        </w:rPr>
        <w:t>从基础服务供给向全链价值创造转型：以农业社会化服务为抓手，构建“生产托管+技术支撑+金融赋能+品牌营销”全链条农业服务体系，摆脱对财政补贴的依赖，培育市场化盈利模式；​从单一农业业态向农文旅体融合转型：依托温泉、森林、侨乡文化等资源，联动集团文体服务业务，开发“康养+体验+赛事+研学”多元业态，打造区域特色品牌，提升产业附加值。</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ascii="Times New Roman" w:hAnsi="Times New Roman" w:cs="Times New Roman"/>
        </w:rPr>
      </w:pPr>
      <w:r>
        <w:rPr>
          <w:rFonts w:hint="eastAsia" w:ascii="Times New Roman" w:hAnsi="Times New Roman" w:eastAsia="仿宋_GB2312" w:cs="Times New Roman"/>
          <w:b/>
          <w:bCs/>
          <w:kern w:val="0"/>
          <w:sz w:val="32"/>
          <w:szCs w:val="27"/>
          <w:lang w:val="en-US" w:eastAsia="zh-CN" w:bidi="ar-SA"/>
        </w:rPr>
        <w:t>4．</w:t>
      </w:r>
      <w:r>
        <w:rPr>
          <w:rFonts w:ascii="Times New Roman" w:hAnsi="Times New Roman" w:cs="Times New Roman"/>
        </w:rPr>
        <w:t>发展策略</w:t>
      </w:r>
      <w:bookmarkStart w:id="153" w:name="_Toc537"/>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ascii="Times New Roman" w:hAnsi="Times New Roman" w:cs="Times New Roman"/>
        </w:rPr>
      </w:pPr>
      <w:r>
        <w:rPr>
          <w:rFonts w:hint="eastAsia" w:ascii="Times New Roman" w:hAnsi="Times New Roman" w:eastAsia="仿宋_GB2312" w:cs="Times New Roman"/>
          <w:bCs/>
          <w:kern w:val="0"/>
          <w:sz w:val="32"/>
          <w:szCs w:val="24"/>
          <w:lang w:val="en-US" w:eastAsia="zh-CN" w:bidi="ar-SA"/>
        </w:rPr>
        <w:t>（1）</w:t>
      </w:r>
      <w:r>
        <w:rPr>
          <w:rFonts w:ascii="Times New Roman" w:hAnsi="Times New Roman" w:cs="Times New Roman"/>
        </w:rPr>
        <w:t>全域资源整合升级，筑牢产业发展根基​</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ascii="Times New Roman" w:hAnsi="Times New Roman" w:cs="Times New Roman"/>
        </w:rPr>
      </w:pPr>
      <w:r>
        <w:rPr>
          <w:rFonts w:hint="eastAsia" w:ascii="Times New Roman" w:hAnsi="Times New Roman" w:cs="Times New Roman"/>
        </w:rPr>
        <w:t>深化“1+11+1+N”模式并升级为全域资源整合标准工具，建立涵盖土地、水域、闲置农房、集体经营性资产的动态资源项目库，实施统一编码、价值评估与分级管理，支撑项目招商与规模化运营。</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hint="eastAsia" w:ascii="Times New Roman" w:hAnsi="Times New Roman" w:cs="Times New Roman"/>
        </w:rPr>
      </w:pPr>
      <w:r>
        <w:rPr>
          <w:rFonts w:hint="eastAsia" w:ascii="Times New Roman" w:hAnsi="Times New Roman" w:cs="Times New Roman"/>
        </w:rPr>
        <w:t>做强恩平生态产品交易中心，联合高端平台及科研机构开发多元生态权益产品，探索生态资产金融化路径，构建“资源—资产—资本—资金”价值转化通道。​</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hint="default" w:ascii="Times New Roman" w:hAnsi="Times New Roman" w:cs="Times New Roman"/>
        </w:rPr>
      </w:pPr>
      <w:r>
        <w:rPr>
          <w:rFonts w:hint="eastAsia" w:ascii="Times New Roman" w:hAnsi="Times New Roman" w:eastAsia="仿宋_GB2312" w:cs="Times New Roman"/>
          <w:bCs/>
          <w:kern w:val="0"/>
          <w:sz w:val="32"/>
          <w:szCs w:val="24"/>
          <w:lang w:val="en-US" w:eastAsia="zh-CN" w:bidi="ar-SA"/>
        </w:rPr>
        <w:t>（2）</w:t>
      </w:r>
      <w:r>
        <w:rPr>
          <w:rFonts w:ascii="Times New Roman" w:hAnsi="Times New Roman" w:cs="Times New Roman"/>
        </w:rPr>
        <w:t>构建全链条服务体系，强化产业赋能能力​</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ascii="Times New Roman" w:hAnsi="Times New Roman" w:cs="Times New Roman"/>
        </w:rPr>
      </w:pPr>
      <w:r>
        <w:rPr>
          <w:rFonts w:hint="eastAsia" w:ascii="Times New Roman" w:hAnsi="Times New Roman" w:cs="Times New Roman"/>
        </w:rPr>
        <w:t>紧抓“百千万工程”机遇，投资建设区域性现代农事服务中心，集成农资配送、农机服务等基础功能与农技培训、金融驿站等增值服务，打造“一站式”为农服务枢纽。</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ascii="Times New Roman" w:hAnsi="Times New Roman" w:cs="Times New Roman"/>
        </w:rPr>
      </w:pPr>
      <w:r>
        <w:rPr>
          <w:rFonts w:hint="eastAsia" w:ascii="Times New Roman" w:hAnsi="Times New Roman" w:cs="Times New Roman"/>
        </w:rPr>
        <w:t>搭建恩平智慧农业云服务平台，整合多维度数据资源，实现服务供需撮合、作业数字化佐证与效益智能分析。</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hint="eastAsia" w:ascii="Times New Roman" w:hAnsi="Times New Roman" w:cs="Times New Roman"/>
        </w:rPr>
      </w:pPr>
      <w:r>
        <w:rPr>
          <w:rFonts w:hint="eastAsia" w:ascii="Times New Roman" w:hAnsi="Times New Roman" w:cs="Times New Roman"/>
        </w:rPr>
        <w:t>以“恩平优品”为核心构建特色农产品品牌体系，建立全程质量溯源系统，线下在大湾区布局体验中心与景区专柜，线上拓展电商及直播带货渠道。</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hint="default" w:ascii="Times New Roman" w:hAnsi="Times New Roman" w:cs="Times New Roman"/>
        </w:rPr>
      </w:pPr>
      <w:r>
        <w:rPr>
          <w:rFonts w:hint="eastAsia" w:ascii="Times New Roman" w:hAnsi="Times New Roman" w:eastAsia="仿宋_GB2312" w:cs="Times New Roman"/>
          <w:bCs/>
          <w:kern w:val="0"/>
          <w:sz w:val="32"/>
          <w:szCs w:val="24"/>
          <w:lang w:val="en-US" w:eastAsia="zh-CN" w:bidi="ar-SA"/>
        </w:rPr>
        <w:t>（3）</w:t>
      </w:r>
      <w:r>
        <w:rPr>
          <w:rFonts w:ascii="Times New Roman" w:hAnsi="Times New Roman" w:cs="Times New Roman"/>
        </w:rPr>
        <w:t>培育融合业态集群，打造区域特色品牌​</w:t>
      </w:r>
    </w:p>
    <w:bookmarkEnd w:id="153"/>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ascii="Times New Roman" w:hAnsi="Times New Roman" w:cs="Times New Roman"/>
        </w:rPr>
      </w:pPr>
      <w:r>
        <w:rPr>
          <w:rFonts w:hint="eastAsia" w:ascii="Times New Roman" w:hAnsi="Times New Roman" w:cs="Times New Roman"/>
        </w:rPr>
        <w:t>探索布局“温泉+康养”业态，联合专业机构打造旅居康养公寓与温泉理疗中心，提供定制化服务；依托森林资源建设生态研学基地与户外运动公园，开发森林疗愈、山地运动等项目。</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ascii="Times New Roman" w:hAnsi="Times New Roman" w:cs="Times New Roman"/>
        </w:rPr>
      </w:pPr>
      <w:r>
        <w:rPr>
          <w:rFonts w:hint="eastAsia" w:ascii="Times New Roman" w:hAnsi="Times New Roman" w:cs="Times New Roman"/>
        </w:rPr>
        <w:t>联动民生服务板块文体运营业务，将农文旅资源纳入赛事配套，开发“参赛+康养+游览”套餐，盘活闲置资产打造运动主题民宿集群；结合侨乡与红色资源，举办特色活动，开发“赛事+文化+旅游”融合产品。</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textAlignment w:val="auto"/>
        <w:rPr>
          <w:rFonts w:hint="eastAsia" w:ascii="Times New Roman" w:hAnsi="Times New Roman" w:cs="Times New Roman"/>
        </w:rPr>
      </w:pPr>
      <w:r>
        <w:rPr>
          <w:rFonts w:hint="eastAsia" w:ascii="Times New Roman" w:hAnsi="Times New Roman" w:cs="Times New Roman"/>
        </w:rPr>
        <w:t>通过经营权置换、联合开发等模式，将闲置农房与集体物业改造为精品民宿、文创空间，引入专业运营团队，以“管理费+营收分成”模式实现轻资产盈利，带动周边产业发展。</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Times New Roman" w:hAnsi="Times New Roman" w:cs="Times New Roma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ind w:left="0" w:leftChars="0" w:firstLine="640" w:firstLineChars="200"/>
        <w:textAlignment w:val="auto"/>
        <w:rPr>
          <w:rFonts w:hint="default" w:ascii="Times New Roman" w:hAnsi="Times New Roman" w:cs="Times New Roman"/>
        </w:rPr>
      </w:pPr>
      <w:bookmarkStart w:id="154" w:name="_Toc10754"/>
      <w:bookmarkStart w:id="155" w:name="_Toc21762"/>
      <w:bookmarkStart w:id="156" w:name="_Toc15108"/>
      <w:bookmarkStart w:id="157" w:name="_Toc1182"/>
      <w:bookmarkStart w:id="158" w:name="_Toc1878"/>
      <w:bookmarkStart w:id="159" w:name="_Toc13173"/>
      <w:r>
        <w:rPr>
          <w:rFonts w:hint="eastAsia" w:ascii="Times New Roman" w:hAnsi="Times New Roman" w:eastAsia="黑体" w:cs="Times New Roman"/>
          <w:bCs/>
          <w:kern w:val="44"/>
          <w:sz w:val="32"/>
          <w:szCs w:val="48"/>
          <w:lang w:val="en-US" w:eastAsia="zh-CN" w:bidi="ar-SA"/>
        </w:rPr>
        <w:t xml:space="preserve">第六章 </w:t>
      </w:r>
      <w:r>
        <w:rPr>
          <w:rFonts w:ascii="Times New Roman" w:hAnsi="Times New Roman" w:cs="Times New Roman"/>
        </w:rPr>
        <w:t>重要举措</w:t>
      </w:r>
      <w:bookmarkEnd w:id="154"/>
      <w:bookmarkEnd w:id="155"/>
      <w:bookmarkEnd w:id="156"/>
      <w:bookmarkEnd w:id="157"/>
      <w:bookmarkEnd w:id="158"/>
      <w:bookmarkEnd w:id="159"/>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160" w:name="_Toc20799"/>
      <w:bookmarkStart w:id="161" w:name="_Toc21549"/>
      <w:bookmarkStart w:id="162" w:name="_Toc10062"/>
      <w:bookmarkStart w:id="163" w:name="_Toc9241"/>
      <w:bookmarkStart w:id="164" w:name="_Toc15480"/>
      <w:bookmarkStart w:id="165" w:name="_Toc32578"/>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rPr>
        <w:t>完善集团治理与管控体系</w:t>
      </w:r>
      <w:bookmarkEnd w:id="160"/>
      <w:bookmarkEnd w:id="161"/>
      <w:bookmarkEnd w:id="162"/>
      <w:bookmarkEnd w:id="163"/>
      <w:bookmarkEnd w:id="164"/>
      <w:bookmarkEnd w:id="165"/>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cs="Times New Roman"/>
        </w:rPr>
      </w:pPr>
      <w:r>
        <w:rPr>
          <w:rFonts w:hint="eastAsia" w:ascii="Times New Roman" w:hAnsi="Times New Roman" w:cs="Times New Roman"/>
        </w:rPr>
        <w:t>构建“集团总部—平台公司—专业公司”三级管控架构，明确总部核心职能，实现“精总部、强产业”。优化法人治理，健全党总支部、董事会、经营班子协同机制，严格落实“三重一大”决策制度，实现子公司董事会应建尽建，完善外派人员管理考核。明晰权责边界，制定权责清单与授权指引，推行差异化授权；搭建标准化制度流程与数字化管控平台，实现流程线上化、数据穿透化管理。</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166" w:name="_Toc19754"/>
      <w:bookmarkStart w:id="167" w:name="_Toc23471"/>
      <w:bookmarkStart w:id="168" w:name="_Toc14946"/>
      <w:bookmarkStart w:id="169" w:name="_Toc6186"/>
      <w:bookmarkStart w:id="170" w:name="_Toc27302"/>
      <w:bookmarkStart w:id="171" w:name="_Toc18394"/>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rPr>
        <w:t>强化资源整合与资本运作</w:t>
      </w:r>
      <w:bookmarkEnd w:id="166"/>
      <w:bookmarkEnd w:id="167"/>
      <w:bookmarkEnd w:id="168"/>
      <w:bookmarkEnd w:id="169"/>
      <w:bookmarkEnd w:id="170"/>
      <w:bookmarkEnd w:id="171"/>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lang w:val="en-US" w:eastAsia="zh-CN"/>
        </w:rPr>
      </w:pPr>
      <w:r>
        <w:rPr>
          <w:rFonts w:hint="eastAsia" w:ascii="Times New Roman" w:hAnsi="Times New Roman" w:cs="Times New Roman"/>
        </w:rPr>
        <w:t>积极争取优质资源注入，参与公用事业及公共资源市场化运营。创新融资方式，深化银企合作，发行债券并探索资产盘活工具。坚持“产业经营+资本营运”双轮驱动，通过并购、混改、产业基金布局拓展业务。搭建资产数字化管理平台，分类盘活闲置资产，提升运营效益。</w:t>
      </w:r>
      <w:r>
        <w:rPr>
          <w:rFonts w:hint="eastAsia" w:ascii="Times New Roman" w:hAnsi="Times New Roman" w:cs="Times New Roman"/>
          <w:lang w:val="en-US" w:eastAsia="zh-CN"/>
        </w:rPr>
        <w:t>强化业财融合导向，在业务重组、并购整合、重大投资等关键经营环节，推动财务管控前置，将现金流测算、投资回收期分析、税务成本评估纳入项目立项的必要内容，从源头把控经营质量。</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172" w:name="_Toc25128"/>
      <w:bookmarkStart w:id="173" w:name="_Toc15853"/>
      <w:bookmarkStart w:id="174" w:name="_Toc17213"/>
      <w:bookmarkStart w:id="175" w:name="_Toc1089"/>
      <w:bookmarkStart w:id="176" w:name="_Toc23883"/>
      <w:bookmarkStart w:id="177" w:name="_Toc16982"/>
      <w:r>
        <w:rPr>
          <w:rFonts w:hint="eastAsia" w:ascii="Times New Roman" w:hAnsi="Times New Roman" w:eastAsia="楷体_GB2312" w:cs="Times New Roman"/>
          <w:b/>
          <w:bCs/>
          <w:kern w:val="0"/>
          <w:sz w:val="32"/>
          <w:szCs w:val="36"/>
          <w:lang w:val="en-US" w:eastAsia="zh-CN" w:bidi="ar-SA"/>
          <w14:ligatures w14:val="standardContextual"/>
        </w:rPr>
        <w:t>三、</w:t>
      </w:r>
      <w:r>
        <w:rPr>
          <w:rFonts w:ascii="Times New Roman" w:hAnsi="Times New Roman" w:cs="Times New Roman"/>
        </w:rPr>
        <w:t>打造专业化人才队伍</w:t>
      </w:r>
      <w:bookmarkEnd w:id="172"/>
      <w:bookmarkEnd w:id="173"/>
      <w:bookmarkEnd w:id="174"/>
      <w:bookmarkEnd w:id="175"/>
      <w:bookmarkEnd w:id="176"/>
      <w:bookmarkEnd w:id="177"/>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cs="Times New Roman"/>
        </w:rPr>
      </w:pPr>
      <w:r>
        <w:rPr>
          <w:rFonts w:hint="eastAsia" w:ascii="Times New Roman" w:hAnsi="Times New Roman" w:cs="Times New Roman"/>
        </w:rPr>
        <w:t>坚持市场化引才与柔性用才相结合，充实紧缺人才，建立外部人才库。实施骨干与领军人才培养计划，完善内训与轮岗机制，构建分层人才梯队。建立绩效强挂钩的考核体系，推行超额利润分享、项目跟投等激励机制。设立专职人力部门，健全全流程人才管理制度，优化招聘与晋升机制。</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178" w:name="_Toc22008"/>
      <w:bookmarkStart w:id="179" w:name="_Toc3044"/>
      <w:bookmarkStart w:id="180" w:name="_Toc7585"/>
      <w:bookmarkStart w:id="181" w:name="_Toc7333"/>
      <w:bookmarkStart w:id="182" w:name="_Toc30156"/>
      <w:bookmarkStart w:id="183" w:name="_Toc18725"/>
      <w:r>
        <w:rPr>
          <w:rFonts w:hint="eastAsia" w:ascii="Times New Roman" w:hAnsi="Times New Roman" w:eastAsia="楷体_GB2312" w:cs="Times New Roman"/>
          <w:b/>
          <w:bCs/>
          <w:kern w:val="0"/>
          <w:sz w:val="32"/>
          <w:szCs w:val="36"/>
          <w:lang w:val="en-US" w:eastAsia="zh-CN" w:bidi="ar-SA"/>
          <w14:ligatures w14:val="standardContextual"/>
        </w:rPr>
        <w:t>四、</w:t>
      </w:r>
      <w:r>
        <w:rPr>
          <w:rFonts w:ascii="Times New Roman" w:hAnsi="Times New Roman" w:cs="Times New Roman"/>
        </w:rPr>
        <w:t>构建全面风险防控体系</w:t>
      </w:r>
      <w:bookmarkEnd w:id="178"/>
      <w:bookmarkEnd w:id="179"/>
      <w:bookmarkEnd w:id="180"/>
      <w:bookmarkEnd w:id="181"/>
      <w:bookmarkEnd w:id="182"/>
      <w:bookmarkEnd w:id="183"/>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cs="Times New Roman"/>
        </w:rPr>
      </w:pPr>
      <w:r>
        <w:rPr>
          <w:rFonts w:hint="eastAsia" w:ascii="Times New Roman" w:hAnsi="Times New Roman" w:cs="Times New Roman"/>
        </w:rPr>
        <w:t>完善内控合规体系，建立风险识别、评估、预警、应对全流程机制，定期开展风险排查。聚焦财务、投资、工程等重点领域，严控债务风险、规范投资全周期管理、压实安全生产责任。借助外部专业力量，搭建数字化风控平台，实现实时监控。健全风控责任考核与合规容错免责机制。</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184" w:name="_Toc30950"/>
      <w:bookmarkStart w:id="185" w:name="_Toc4447"/>
      <w:bookmarkStart w:id="186" w:name="_Toc9780"/>
      <w:bookmarkStart w:id="187" w:name="_Toc1196"/>
      <w:bookmarkStart w:id="188" w:name="_Toc15463"/>
      <w:bookmarkStart w:id="189" w:name="_Toc26347"/>
      <w:r>
        <w:rPr>
          <w:rFonts w:hint="eastAsia" w:ascii="Times New Roman" w:hAnsi="Times New Roman" w:eastAsia="楷体_GB2312" w:cs="Times New Roman"/>
          <w:b/>
          <w:bCs/>
          <w:kern w:val="0"/>
          <w:sz w:val="32"/>
          <w:szCs w:val="36"/>
          <w:lang w:val="en-US" w:eastAsia="zh-CN" w:bidi="ar-SA"/>
          <w14:ligatures w14:val="standardContextual"/>
        </w:rPr>
        <w:t>五、</w:t>
      </w:r>
      <w:r>
        <w:rPr>
          <w:rFonts w:ascii="Times New Roman" w:hAnsi="Times New Roman" w:cs="Times New Roman"/>
        </w:rPr>
        <w:t>强化组织保障与文化建设</w:t>
      </w:r>
      <w:bookmarkEnd w:id="184"/>
      <w:bookmarkEnd w:id="185"/>
      <w:bookmarkEnd w:id="186"/>
      <w:bookmarkEnd w:id="187"/>
      <w:bookmarkEnd w:id="188"/>
      <w:bookmarkEnd w:id="189"/>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cs="Times New Roman"/>
        </w:rPr>
      </w:pPr>
      <w:r>
        <w:rPr>
          <w:rFonts w:hint="eastAsia" w:ascii="Times New Roman" w:hAnsi="Times New Roman" w:cs="Times New Roman"/>
        </w:rPr>
        <w:t>成立战略实施委员会，分解目标、压实责任，完善任务传导机制。优化资源配置，向核心业务与增长业务动态倾斜。加强战略文化宣贯，培育协同创新、担当实干的企业文化。强化政企常态化沟通，积极对接政策资源，构建外部合作生态，撬动优质要素补齐发展短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Times New Roman" w:hAnsi="Times New Roman" w:cs="Times New Roma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ind w:left="0" w:leftChars="0" w:firstLine="640" w:firstLineChars="200"/>
        <w:textAlignment w:val="auto"/>
        <w:rPr>
          <w:rFonts w:hint="default" w:ascii="Times New Roman" w:hAnsi="Times New Roman" w:cs="Times New Roman"/>
        </w:rPr>
      </w:pPr>
      <w:bookmarkStart w:id="190" w:name="_Toc17626"/>
      <w:bookmarkStart w:id="191" w:name="_Toc31882"/>
      <w:bookmarkStart w:id="192" w:name="_Toc16372"/>
      <w:bookmarkStart w:id="193" w:name="_Toc9829"/>
      <w:bookmarkStart w:id="194" w:name="_Toc16127"/>
      <w:bookmarkStart w:id="195" w:name="_Toc17778"/>
      <w:r>
        <w:rPr>
          <w:rFonts w:hint="eastAsia" w:ascii="Times New Roman" w:hAnsi="Times New Roman" w:eastAsia="黑体" w:cs="Times New Roman"/>
          <w:bCs/>
          <w:kern w:val="44"/>
          <w:sz w:val="32"/>
          <w:szCs w:val="48"/>
          <w:lang w:val="en-US" w:eastAsia="zh-CN" w:bidi="ar-SA"/>
        </w:rPr>
        <w:t xml:space="preserve">第七章 </w:t>
      </w:r>
      <w:r>
        <w:rPr>
          <w:rFonts w:ascii="Times New Roman" w:hAnsi="Times New Roman" w:cs="Times New Roman"/>
        </w:rPr>
        <w:t>保障措施</w:t>
      </w:r>
      <w:bookmarkEnd w:id="190"/>
      <w:bookmarkEnd w:id="191"/>
      <w:bookmarkEnd w:id="192"/>
      <w:bookmarkEnd w:id="193"/>
      <w:bookmarkEnd w:id="194"/>
      <w:bookmarkEnd w:id="195"/>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196" w:name="_Toc20058"/>
      <w:bookmarkStart w:id="197" w:name="_Toc23696"/>
      <w:bookmarkStart w:id="198" w:name="_Toc23274"/>
      <w:bookmarkStart w:id="199" w:name="_Toc23397"/>
      <w:bookmarkStart w:id="200" w:name="_Toc4986"/>
      <w:bookmarkStart w:id="201" w:name="_Toc13336"/>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rPr>
        <w:t>坚持党的全面领导</w:t>
      </w:r>
      <w:bookmarkEnd w:id="196"/>
      <w:bookmarkEnd w:id="197"/>
      <w:bookmarkEnd w:id="198"/>
      <w:bookmarkEnd w:id="199"/>
      <w:bookmarkEnd w:id="200"/>
      <w:bookmarkEnd w:id="201"/>
    </w:p>
    <w:p>
      <w:pPr>
        <w:keepNext w:val="0"/>
        <w:keepLines w:val="0"/>
        <w:pageBreakBefore w:val="0"/>
        <w:widowControl w:val="0"/>
        <w:tabs>
          <w:tab w:val="left" w:pos="4160"/>
        </w:tabs>
        <w:kinsoku/>
        <w:wordWrap/>
        <w:overflowPunct/>
        <w:topLinePunct w:val="0"/>
        <w:autoSpaceDE/>
        <w:autoSpaceDN/>
        <w:bidi w:val="0"/>
        <w:adjustRightInd/>
        <w:snapToGrid/>
        <w:ind w:firstLine="640" w:firstLineChars="200"/>
        <w:textAlignment w:val="auto"/>
        <w:rPr>
          <w:rFonts w:ascii="Times New Roman" w:hAnsi="Times New Roman" w:cs="Times New Roman"/>
        </w:rPr>
      </w:pPr>
      <w:r>
        <w:rPr>
          <w:rFonts w:hint="eastAsia" w:ascii="Times New Roman" w:hAnsi="Times New Roman" w:cs="Times New Roman"/>
        </w:rPr>
        <w:t>将党建工作要求纳入企业章程，明确党组织在“三重一大”等决策、执行、监督环节的权责；完善“双向进入、交叉任职”机制；紧盯资产处置、资金使用等重点领域强化廉洁风险防控，推动党建与生产经营深度融合，转化为发展优势。</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202" w:name="_Toc3098"/>
      <w:bookmarkStart w:id="203" w:name="_Toc16995"/>
      <w:bookmarkStart w:id="204" w:name="_Toc32094"/>
      <w:bookmarkStart w:id="205" w:name="_Toc21050"/>
      <w:bookmarkStart w:id="206" w:name="_Toc30549"/>
      <w:bookmarkStart w:id="207" w:name="_Toc9247"/>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rPr>
        <w:t>强化组织领导</w:t>
      </w:r>
      <w:bookmarkEnd w:id="202"/>
      <w:bookmarkEnd w:id="203"/>
      <w:bookmarkEnd w:id="204"/>
      <w:bookmarkEnd w:id="205"/>
      <w:bookmarkEnd w:id="206"/>
      <w:bookmarkEnd w:id="207"/>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Times New Roman" w:hAnsi="Times New Roman" w:cs="Times New Roman"/>
        </w:rPr>
      </w:pPr>
      <w:r>
        <w:rPr>
          <w:rFonts w:hint="eastAsia" w:ascii="Times New Roman" w:hAnsi="Times New Roman" w:cs="Times New Roman"/>
        </w:rPr>
        <w:t>成立规划实施领导小组，统筹推进落地；将规划目标分解为年度任务，层层压实责任、明确时限；建立进度汇总通报机制，开展中期评估与期末考核，动态调整规划内容。</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208" w:name="_Toc27334"/>
      <w:bookmarkStart w:id="209" w:name="_Toc20396"/>
      <w:bookmarkStart w:id="210" w:name="_Toc404"/>
      <w:bookmarkStart w:id="211" w:name="_Toc13021"/>
      <w:bookmarkStart w:id="212" w:name="_Toc6924"/>
      <w:bookmarkStart w:id="213" w:name="_Toc8180"/>
      <w:r>
        <w:rPr>
          <w:rFonts w:hint="eastAsia" w:ascii="Times New Roman" w:hAnsi="Times New Roman" w:eastAsia="楷体_GB2312" w:cs="Times New Roman"/>
          <w:b/>
          <w:bCs/>
          <w:kern w:val="0"/>
          <w:sz w:val="32"/>
          <w:szCs w:val="36"/>
          <w:lang w:val="en-US" w:eastAsia="zh-CN" w:bidi="ar-SA"/>
          <w14:ligatures w14:val="standardContextual"/>
        </w:rPr>
        <w:t>三、</w:t>
      </w:r>
      <w:r>
        <w:rPr>
          <w:rFonts w:ascii="Times New Roman" w:hAnsi="Times New Roman" w:cs="Times New Roman"/>
        </w:rPr>
        <w:t>健全绩效考核</w:t>
      </w:r>
      <w:bookmarkEnd w:id="208"/>
      <w:bookmarkEnd w:id="209"/>
      <w:bookmarkEnd w:id="210"/>
      <w:bookmarkEnd w:id="211"/>
      <w:bookmarkEnd w:id="212"/>
      <w:bookmarkEnd w:id="213"/>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Times New Roman" w:hAnsi="Times New Roman" w:cs="Times New Roman"/>
        </w:rPr>
      </w:pPr>
      <w:r>
        <w:rPr>
          <w:rFonts w:hint="eastAsia" w:ascii="Times New Roman" w:hAnsi="Times New Roman" w:cs="Times New Roman"/>
        </w:rPr>
        <w:t>完善分类考核、对标考核等多维考核体系，将规划实施成效纳入国企负责人考核；考核结果与薪酬、晋升直接挂钩，对成效显著者表彰、落实不力者问责，激发干事活力。</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214" w:name="_Toc15299"/>
      <w:bookmarkStart w:id="215" w:name="_Toc25883"/>
      <w:bookmarkStart w:id="216" w:name="_Toc8300"/>
      <w:bookmarkStart w:id="217" w:name="_Toc29782"/>
      <w:bookmarkStart w:id="218" w:name="_Toc14090"/>
      <w:bookmarkStart w:id="219" w:name="_Toc24918"/>
      <w:r>
        <w:rPr>
          <w:rFonts w:hint="eastAsia" w:ascii="Times New Roman" w:hAnsi="Times New Roman" w:eastAsia="楷体_GB2312" w:cs="Times New Roman"/>
          <w:b/>
          <w:bCs/>
          <w:kern w:val="0"/>
          <w:sz w:val="32"/>
          <w:szCs w:val="36"/>
          <w:lang w:val="en-US" w:eastAsia="zh-CN" w:bidi="ar-SA"/>
          <w14:ligatures w14:val="standardContextual"/>
        </w:rPr>
        <w:t>四、</w:t>
      </w:r>
      <w:r>
        <w:rPr>
          <w:rFonts w:ascii="Times New Roman" w:hAnsi="Times New Roman" w:cs="Times New Roman"/>
        </w:rPr>
        <w:t>落实责任追查</w:t>
      </w:r>
      <w:bookmarkEnd w:id="214"/>
      <w:bookmarkEnd w:id="215"/>
      <w:bookmarkEnd w:id="216"/>
      <w:bookmarkEnd w:id="217"/>
      <w:bookmarkEnd w:id="218"/>
      <w:bookmarkEnd w:id="219"/>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Times New Roman" w:hAnsi="Times New Roman" w:cs="Times New Roman"/>
        </w:rPr>
      </w:pPr>
      <w:r>
        <w:rPr>
          <w:rFonts w:hint="eastAsia" w:ascii="Times New Roman" w:hAnsi="Times New Roman" w:cs="Times New Roman"/>
        </w:rPr>
        <w:t>建立科学决策与追责制度，完善核查整改、监督会商等机制。筑牢“四道防线”，强化对权力集中领域及“三重一大”决策的监督，严防国有资产流失。</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220" w:name="_Toc30448"/>
      <w:bookmarkStart w:id="221" w:name="_Toc6404"/>
      <w:bookmarkStart w:id="222" w:name="_Toc3776"/>
      <w:bookmarkStart w:id="223" w:name="_Toc27689"/>
      <w:bookmarkStart w:id="224" w:name="_Toc24201"/>
      <w:bookmarkStart w:id="225" w:name="_Toc545"/>
      <w:r>
        <w:rPr>
          <w:rFonts w:hint="eastAsia" w:ascii="Times New Roman" w:hAnsi="Times New Roman" w:eastAsia="楷体_GB2312" w:cs="Times New Roman"/>
          <w:b/>
          <w:bCs/>
          <w:kern w:val="0"/>
          <w:sz w:val="32"/>
          <w:szCs w:val="36"/>
          <w:lang w:val="en-US" w:eastAsia="zh-CN" w:bidi="ar-SA"/>
          <w14:ligatures w14:val="standardContextual"/>
        </w:rPr>
        <w:t>五、</w:t>
      </w:r>
      <w:r>
        <w:rPr>
          <w:rFonts w:ascii="Times New Roman" w:hAnsi="Times New Roman" w:cs="Times New Roman"/>
        </w:rPr>
        <w:t>建立容错纠错机制</w:t>
      </w:r>
      <w:bookmarkEnd w:id="220"/>
      <w:bookmarkEnd w:id="221"/>
      <w:bookmarkEnd w:id="222"/>
      <w:bookmarkEnd w:id="223"/>
      <w:bookmarkEnd w:id="224"/>
      <w:bookmarkEnd w:id="225"/>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Times New Roman" w:hAnsi="Times New Roman" w:cs="Times New Roman"/>
        </w:rPr>
      </w:pPr>
      <w:r>
        <w:rPr>
          <w:rFonts w:hint="eastAsia" w:ascii="Times New Roman" w:hAnsi="Times New Roman" w:cs="Times New Roman"/>
        </w:rPr>
        <w:t>制定尽职合规免责清单，明确创新容错情形；规范申请、核实、整改等流程，健全申诉救济制度，鼓励干部敢闯敢试，营造改革创新氛围。</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ind w:left="0" w:leftChars="0" w:firstLine="643" w:firstLineChars="200"/>
        <w:textAlignment w:val="auto"/>
        <w:rPr>
          <w:rFonts w:hint="default" w:ascii="Times New Roman" w:hAnsi="Times New Roman" w:cs="Times New Roman"/>
        </w:rPr>
      </w:pPr>
      <w:bookmarkStart w:id="226" w:name="_Toc12769"/>
      <w:bookmarkStart w:id="227" w:name="_Toc25340"/>
      <w:bookmarkStart w:id="228" w:name="_Toc14546"/>
      <w:r>
        <w:rPr>
          <w:rFonts w:hint="eastAsia" w:ascii="Times New Roman" w:hAnsi="Times New Roman" w:eastAsia="楷体_GB2312" w:cs="Times New Roman"/>
          <w:b/>
          <w:bCs/>
          <w:kern w:val="0"/>
          <w:sz w:val="32"/>
          <w:szCs w:val="36"/>
          <w:lang w:val="en-US" w:eastAsia="zh-CN" w:bidi="ar-SA"/>
          <w14:ligatures w14:val="standardContextual"/>
        </w:rPr>
        <w:t>六、</w:t>
      </w:r>
      <w:r>
        <w:rPr>
          <w:rFonts w:hint="eastAsia" w:ascii="Times New Roman" w:hAnsi="Times New Roman" w:cs="Times New Roman"/>
          <w:lang w:val="en-US" w:eastAsia="zh-CN"/>
        </w:rPr>
        <w:t>建立战略动态评估机制</w:t>
      </w:r>
      <w:bookmarkEnd w:id="226"/>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cs="Times New Roman"/>
        </w:rPr>
        <w:sectPr>
          <w:headerReference r:id="rId11" w:type="default"/>
          <w:footerReference r:id="rId12" w:type="default"/>
          <w:pgSz w:w="11906" w:h="16838"/>
          <w:pgMar w:top="2098" w:right="1474" w:bottom="1984" w:left="1587" w:header="851" w:footer="992" w:gutter="0"/>
          <w:pgNumType w:start="1"/>
          <w:cols w:space="425" w:num="1"/>
          <w:docGrid w:type="lines" w:linePitch="312" w:charSpace="0"/>
        </w:sectPr>
      </w:pPr>
      <w:r>
        <w:rPr>
          <w:rFonts w:hint="default" w:ascii="Times New Roman" w:hAnsi="Times New Roman" w:cs="Times New Roman"/>
        </w:rPr>
        <w:t>健全规划动态跟踪与评估调整体系，常态化开展年度战略复盘工作。综合研判宏观经济走势、上级政策变动、市场环境及企业自身运营发展实际，开展全面复盘，根据研判结果实施弹性优化调整，持续提升整体战略对内外环境变化的适应能力。</w:t>
      </w:r>
    </w:p>
    <w:p>
      <w:pPr>
        <w:pStyle w:val="2"/>
        <w:numPr>
          <w:ilvl w:val="0"/>
          <w:numId w:val="0"/>
        </w:numPr>
        <w:spacing w:before="192" w:after="192"/>
        <w:jc w:val="left"/>
        <w:rPr>
          <w:rFonts w:hint="default" w:ascii="Times New Roman" w:hAnsi="Times New Roman" w:cs="Times New Roman"/>
        </w:rPr>
      </w:pPr>
      <w:bookmarkStart w:id="229" w:name="_Toc24259"/>
      <w:bookmarkStart w:id="230" w:name="_Toc19452"/>
      <w:bookmarkStart w:id="231" w:name="_Toc11290"/>
      <w:bookmarkStart w:id="232" w:name="_Toc12533"/>
      <w:bookmarkStart w:id="233" w:name="_Toc32643"/>
      <w:bookmarkStart w:id="234" w:name="_Toc21004"/>
      <w:r>
        <w:rPr>
          <w:rFonts w:ascii="Times New Roman" w:hAnsi="Times New Roman" w:cs="Times New Roman"/>
        </w:rPr>
        <w:t>附</w:t>
      </w:r>
      <w:r>
        <w:rPr>
          <w:rFonts w:hint="eastAsia" w:ascii="Times New Roman" w:hAnsi="Times New Roman" w:cs="Times New Roman"/>
          <w:lang w:val="en-US" w:eastAsia="zh-CN"/>
        </w:rPr>
        <w:t>表1-2</w:t>
      </w:r>
      <w:r>
        <w:rPr>
          <w:rFonts w:ascii="Times New Roman" w:hAnsi="Times New Roman" w:cs="Times New Roman"/>
        </w:rPr>
        <w:t>：</w:t>
      </w:r>
      <w:r>
        <w:rPr>
          <w:rFonts w:hint="eastAsia" w:ascii="Times New Roman" w:hAnsi="Times New Roman" w:cs="Times New Roman"/>
          <w:lang w:val="en-US" w:eastAsia="zh-CN"/>
        </w:rPr>
        <w:t>北晟集团“十五五”</w:t>
      </w:r>
      <w:r>
        <w:rPr>
          <w:rFonts w:ascii="Times New Roman" w:hAnsi="Times New Roman" w:cs="Times New Roman"/>
        </w:rPr>
        <w:t>重点工作分解表（三年行动计划）</w:t>
      </w:r>
      <w:bookmarkEnd w:id="227"/>
      <w:bookmarkEnd w:id="228"/>
      <w:bookmarkEnd w:id="229"/>
      <w:bookmarkEnd w:id="230"/>
      <w:bookmarkEnd w:id="231"/>
      <w:bookmarkEnd w:id="232"/>
      <w:bookmarkEnd w:id="233"/>
      <w:bookmarkEnd w:id="234"/>
    </w:p>
    <w:p>
      <w:pPr>
        <w:ind w:firstLine="640"/>
        <w:rPr>
          <w:rFonts w:ascii="Times New Roman" w:hAnsi="Times New Roman" w:cs="Times New Roman"/>
        </w:rPr>
      </w:pPr>
      <w:r>
        <w:rPr>
          <w:rFonts w:ascii="Times New Roman" w:hAnsi="Times New Roman" w:cs="Times New Roman"/>
        </w:rPr>
        <w:t>为确保</w:t>
      </w:r>
      <w:r>
        <w:rPr>
          <w:rFonts w:hint="eastAsia" w:ascii="Times New Roman" w:hAnsi="Times New Roman" w:cs="Times New Roman"/>
        </w:rPr>
        <w:t>“</w:t>
      </w:r>
      <w:r>
        <w:rPr>
          <w:rFonts w:ascii="Times New Roman" w:hAnsi="Times New Roman" w:cs="Times New Roman"/>
        </w:rPr>
        <w:t>十五五</w:t>
      </w:r>
      <w:r>
        <w:rPr>
          <w:rFonts w:hint="eastAsia" w:ascii="Times New Roman" w:hAnsi="Times New Roman" w:cs="Times New Roman"/>
        </w:rPr>
        <w:t>”</w:t>
      </w:r>
      <w:r>
        <w:rPr>
          <w:rFonts w:ascii="Times New Roman" w:hAnsi="Times New Roman" w:cs="Times New Roman"/>
        </w:rPr>
        <w:t>规划落地实施，制定2026-2028年三年行动计划，明确核心任务、年度目标与责任主体，推动集团转型筑基、提质增效。</w:t>
      </w:r>
    </w:p>
    <w:tbl>
      <w:tblPr>
        <w:tblStyle w:val="18"/>
        <w:tblW w:w="14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6"/>
        <w:gridCol w:w="2615"/>
        <w:gridCol w:w="1860"/>
        <w:gridCol w:w="3315"/>
        <w:gridCol w:w="2231"/>
        <w:gridCol w:w="2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1926" w:type="dxa"/>
            <w:vMerge w:val="restart"/>
            <w:shd w:val="clear" w:color="auto" w:fill="D7D7D7" w:themeFill="background1" w:themeFillShade="D8"/>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b/>
                <w:bCs/>
                <w:sz w:val="28"/>
                <w:szCs w:val="28"/>
              </w:rPr>
            </w:pPr>
            <w:r>
              <w:rPr>
                <w:rFonts w:hint="eastAsia" w:ascii="Times New Roman" w:hAnsi="Times New Roman" w:cs="Times New Roman"/>
                <w:b/>
                <w:bCs/>
                <w:sz w:val="28"/>
                <w:szCs w:val="28"/>
              </w:rPr>
              <w:t>核心任务</w:t>
            </w:r>
          </w:p>
        </w:tc>
        <w:tc>
          <w:tcPr>
            <w:tcW w:w="2615" w:type="dxa"/>
            <w:vMerge w:val="restart"/>
            <w:shd w:val="clear" w:color="auto" w:fill="D7D7D7" w:themeFill="background1" w:themeFillShade="D8"/>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b/>
                <w:bCs/>
                <w:sz w:val="28"/>
                <w:szCs w:val="28"/>
              </w:rPr>
            </w:pPr>
            <w:r>
              <w:rPr>
                <w:rFonts w:hint="eastAsia" w:ascii="Times New Roman" w:hAnsi="Times New Roman" w:cs="Times New Roman"/>
                <w:b/>
                <w:bCs/>
                <w:sz w:val="28"/>
                <w:szCs w:val="28"/>
              </w:rPr>
              <w:t>三年目标</w:t>
            </w:r>
          </w:p>
        </w:tc>
        <w:tc>
          <w:tcPr>
            <w:tcW w:w="1860" w:type="dxa"/>
            <w:vMerge w:val="restart"/>
            <w:shd w:val="clear" w:color="auto" w:fill="D7D7D7" w:themeFill="background1" w:themeFillShade="D8"/>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b/>
                <w:bCs/>
                <w:sz w:val="28"/>
                <w:szCs w:val="28"/>
              </w:rPr>
            </w:pPr>
            <w:r>
              <w:rPr>
                <w:rFonts w:hint="eastAsia" w:ascii="Times New Roman" w:hAnsi="Times New Roman" w:cs="Times New Roman"/>
                <w:b/>
                <w:bCs/>
                <w:sz w:val="28"/>
                <w:szCs w:val="28"/>
              </w:rPr>
              <w:t>2026年</w:t>
            </w:r>
          </w:p>
        </w:tc>
        <w:tc>
          <w:tcPr>
            <w:tcW w:w="3315" w:type="dxa"/>
            <w:vMerge w:val="restart"/>
            <w:shd w:val="clear" w:color="auto" w:fill="D7D7D7" w:themeFill="background1" w:themeFillShade="D8"/>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b/>
                <w:bCs/>
                <w:sz w:val="28"/>
                <w:szCs w:val="28"/>
              </w:rPr>
            </w:pPr>
            <w:r>
              <w:rPr>
                <w:rFonts w:hint="eastAsia" w:ascii="Times New Roman" w:hAnsi="Times New Roman" w:cs="Times New Roman"/>
                <w:b/>
                <w:bCs/>
                <w:sz w:val="28"/>
                <w:szCs w:val="28"/>
              </w:rPr>
              <w:t>2027年</w:t>
            </w:r>
          </w:p>
        </w:tc>
        <w:tc>
          <w:tcPr>
            <w:tcW w:w="2231" w:type="dxa"/>
            <w:vMerge w:val="restart"/>
            <w:shd w:val="clear" w:color="auto" w:fill="D7D7D7" w:themeFill="background1" w:themeFillShade="D8"/>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b/>
                <w:bCs/>
                <w:sz w:val="28"/>
                <w:szCs w:val="28"/>
              </w:rPr>
            </w:pPr>
            <w:r>
              <w:rPr>
                <w:rFonts w:hint="eastAsia" w:ascii="Times New Roman" w:hAnsi="Times New Roman" w:cs="Times New Roman"/>
                <w:b/>
                <w:bCs/>
                <w:sz w:val="28"/>
                <w:szCs w:val="28"/>
              </w:rPr>
              <w:t>2028年</w:t>
            </w:r>
          </w:p>
        </w:tc>
        <w:tc>
          <w:tcPr>
            <w:tcW w:w="2253" w:type="dxa"/>
            <w:vMerge w:val="restart"/>
            <w:shd w:val="clear" w:color="auto" w:fill="D7D7D7" w:themeFill="background1" w:themeFillShade="D8"/>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b/>
                <w:bCs/>
                <w:sz w:val="28"/>
                <w:szCs w:val="28"/>
              </w:rPr>
            </w:pPr>
            <w:r>
              <w:rPr>
                <w:rFonts w:hint="eastAsia" w:ascii="Times New Roman" w:hAnsi="Times New Roman" w:cs="Times New Roman"/>
                <w:b/>
                <w:bCs/>
                <w:sz w:val="28"/>
                <w:szCs w:val="28"/>
              </w:rPr>
              <w:t>责任主体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1926" w:type="dxa"/>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b/>
                <w:sz w:val="28"/>
                <w:szCs w:val="28"/>
              </w:rPr>
            </w:pP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b/>
                <w:sz w:val="28"/>
                <w:szCs w:val="28"/>
              </w:rPr>
            </w:pPr>
          </w:p>
        </w:tc>
        <w:tc>
          <w:tcPr>
            <w:tcW w:w="1860" w:type="dxa"/>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b/>
                <w:sz w:val="28"/>
                <w:szCs w:val="28"/>
              </w:rPr>
            </w:pPr>
          </w:p>
        </w:tc>
        <w:tc>
          <w:tcPr>
            <w:tcW w:w="3315" w:type="dxa"/>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b/>
                <w:sz w:val="28"/>
                <w:szCs w:val="28"/>
              </w:rPr>
            </w:pPr>
          </w:p>
        </w:tc>
        <w:tc>
          <w:tcPr>
            <w:tcW w:w="2231" w:type="dxa"/>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b/>
                <w:sz w:val="28"/>
                <w:szCs w:val="28"/>
              </w:rPr>
            </w:pPr>
          </w:p>
        </w:tc>
        <w:tc>
          <w:tcPr>
            <w:tcW w:w="2253" w:type="dxa"/>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2" w:hRule="atLeast"/>
          <w:jc w:val="center"/>
        </w:trPr>
        <w:tc>
          <w:tcPr>
            <w:tcW w:w="1926"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sz w:val="21"/>
                <w:szCs w:val="21"/>
              </w:rPr>
            </w:pPr>
            <w:r>
              <w:rPr>
                <w:rFonts w:hint="eastAsia" w:ascii="Times New Roman" w:hAnsi="Times New Roman" w:eastAsia="仿宋_GB2312" w:cs="Times New Roman"/>
                <w:kern w:val="2"/>
                <w:sz w:val="21"/>
                <w:szCs w:val="21"/>
                <w:lang w:val="en-US" w:eastAsia="zh-CN" w:bidi="ar-SA"/>
              </w:rPr>
              <w:t>一、</w:t>
            </w:r>
            <w:r>
              <w:rPr>
                <w:rFonts w:hint="eastAsia" w:ascii="Times New Roman" w:hAnsi="Times New Roman" w:cs="Times New Roman"/>
                <w:sz w:val="21"/>
                <w:szCs w:val="21"/>
              </w:rPr>
              <w:t>组织治理与管控优化</w:t>
            </w:r>
          </w:p>
        </w:tc>
        <w:tc>
          <w:tcPr>
            <w:tcW w:w="2615" w:type="dxa"/>
            <w:vAlign w:val="center"/>
          </w:tcPr>
          <w:p>
            <w:pPr>
              <w:pStyle w:val="2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建成“集团总部—二级平台—专业子公司”三级治理体系，实现权责清晰、授权科学、运行高效。</w:t>
            </w:r>
          </w:p>
        </w:tc>
        <w:tc>
          <w:tcPr>
            <w:tcW w:w="1860"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修订完善集团及子公司章程，制定三级管控实施细则，明晰权责</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在总部及1-2家重点子公司试点引入外部董事，建立人才库</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发布权责清单与授权指引，在民生服务、园区板块试点差异化授权</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4．</w:t>
            </w:r>
            <w:r>
              <w:rPr>
                <w:rFonts w:hint="eastAsia" w:ascii="Times New Roman" w:hAnsi="Times New Roman" w:cs="Times New Roman"/>
                <w:sz w:val="21"/>
                <w:szCs w:val="21"/>
              </w:rPr>
              <w:t>启动全面预算与绩效考核一体化改革方案设计。</w:t>
            </w:r>
          </w:p>
        </w:tc>
        <w:tc>
          <w:tcPr>
            <w:tcW w:w="331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完成核心管理制度修订与信息化落地，集成OA、HR、财务系统</w:t>
            </w:r>
            <w:r>
              <w:rPr>
                <w:rFonts w:hint="eastAsia" w:ascii="Times New Roman" w:hAnsi="Times New Roman" w:cs="Times New Roman"/>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子公司董事会应建尽建，落实外派董事履职评价</w:t>
            </w:r>
            <w:r>
              <w:rPr>
                <w:rFonts w:hint="eastAsia" w:ascii="Times New Roman" w:hAnsi="Times New Roman" w:cs="Times New Roman"/>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评估优化试点授权体系并全集团推广。</w:t>
            </w:r>
          </w:p>
        </w:tc>
        <w:tc>
          <w:tcPr>
            <w:tcW w:w="223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建成集团运营数据系统，实现关键指标实时监控与穿透管理。</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形成成熟</w:t>
            </w:r>
            <w:r>
              <w:rPr>
                <w:rFonts w:hint="eastAsia" w:ascii="Times New Roman" w:hAnsi="Times New Roman" w:cs="Times New Roman"/>
                <w:sz w:val="21"/>
                <w:szCs w:val="21"/>
                <w:lang w:val="en-US" w:eastAsia="zh-CN"/>
              </w:rPr>
              <w:t>可</w:t>
            </w:r>
            <w:r>
              <w:rPr>
                <w:rFonts w:hint="eastAsia" w:ascii="Times New Roman" w:hAnsi="Times New Roman" w:cs="Times New Roman"/>
                <w:sz w:val="21"/>
                <w:szCs w:val="21"/>
              </w:rPr>
              <w:t>动态调整的差异化授权体系。</w:t>
            </w:r>
          </w:p>
        </w:tc>
        <w:tc>
          <w:tcPr>
            <w:tcW w:w="2253"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董事会、综合办公室、</w:t>
            </w:r>
            <w:r>
              <w:rPr>
                <w:rFonts w:hint="eastAsia" w:ascii="Times New Roman" w:hAnsi="Times New Roman" w:cs="Times New Roman"/>
                <w:sz w:val="21"/>
                <w:szCs w:val="21"/>
                <w:lang w:val="en-US" w:eastAsia="zh-CN"/>
              </w:rPr>
              <w:t>资产管理和资本运营部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5" w:hRule="atLeast"/>
          <w:jc w:val="center"/>
        </w:trPr>
        <w:tc>
          <w:tcPr>
            <w:tcW w:w="1926"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sz w:val="21"/>
                <w:szCs w:val="21"/>
              </w:rPr>
            </w:pPr>
            <w:r>
              <w:rPr>
                <w:rFonts w:hint="eastAsia" w:ascii="Times New Roman" w:hAnsi="Times New Roman" w:eastAsia="仿宋_GB2312" w:cs="Times New Roman"/>
                <w:kern w:val="2"/>
                <w:sz w:val="21"/>
                <w:szCs w:val="21"/>
                <w:lang w:val="en-US" w:eastAsia="zh-CN" w:bidi="ar-SA"/>
              </w:rPr>
              <w:t>二、</w:t>
            </w:r>
            <w:r>
              <w:rPr>
                <w:rFonts w:hint="eastAsia" w:ascii="Times New Roman" w:hAnsi="Times New Roman" w:cs="Times New Roman"/>
                <w:sz w:val="21"/>
                <w:szCs w:val="21"/>
              </w:rPr>
              <w:t>业务与资产战略性重组</w:t>
            </w:r>
          </w:p>
        </w:tc>
        <w:tc>
          <w:tcPr>
            <w:tcW w:w="2615" w:type="dxa"/>
            <w:vAlign w:val="center"/>
          </w:tcPr>
          <w:p>
            <w:pPr>
              <w:pStyle w:val="2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完成业务板块战略重组，撤销能源资源板块，剥离整合园区业务，夯实“两大核心、一大增长”业务架构。</w:t>
            </w:r>
          </w:p>
        </w:tc>
        <w:tc>
          <w:tcPr>
            <w:tcW w:w="1860"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完成全集团业务与资产二次盘点，明确整合剥离路径</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启动园区业务剥离，成立工作组梳理资产负债人员，制定整合方案</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启动能源资源板块拆分，将能源类资产划转至对应板块</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4.</w:t>
            </w:r>
            <w:r>
              <w:rPr>
                <w:rFonts w:hint="eastAsia" w:ascii="Times New Roman" w:hAnsi="Times New Roman" w:cs="Times New Roman"/>
                <w:sz w:val="21"/>
                <w:szCs w:val="21"/>
              </w:rPr>
              <w:t>制定板块内同类业务合并重组方案。</w:t>
            </w:r>
          </w:p>
        </w:tc>
        <w:tc>
          <w:tcPr>
            <w:tcW w:w="331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lang w:eastAsia="zh-CN"/>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完成现有园区公司股权及资产的审计评估与整体划转，配合管委会完成新园区公司的组建及注资，实现旧园区公司资产股权的平稳移交。</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lang w:eastAsia="zh-CN"/>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完成能源资源板块剩余资产划转，注销或转型原板块主体</w:t>
            </w:r>
            <w:r>
              <w:rPr>
                <w:rFonts w:hint="eastAsia" w:ascii="Times New Roman" w:hAnsi="Times New Roman" w:cs="Times New Roman"/>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民生服务板块完成物业、保安等公司的合并重组，组建专业化物业管理子公司，并同步设立城市服务、文体旅游、社区康养、数字科技四大事业部。推进体育中心与体育物业公司合并、文旅公司与健拓文体公司合并、横陂供水并入公用水务。系统梳理并推进其他同类业务整合。全面清理四级子公司，通过提级管理、合并或注销等方式，有效压减管理层级。</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kern w:val="2"/>
                <w:sz w:val="21"/>
                <w:szCs w:val="21"/>
                <w:lang w:val="en-US" w:eastAsia="zh-CN" w:bidi="ar-SA"/>
              </w:rPr>
              <w:t>4.</w:t>
            </w:r>
            <w:r>
              <w:rPr>
                <w:rFonts w:hint="eastAsia" w:ascii="Times New Roman" w:hAnsi="Times New Roman" w:cs="Times New Roman"/>
                <w:sz w:val="21"/>
                <w:szCs w:val="21"/>
              </w:rPr>
              <w:t>城市投资建设运营板块完成目标施工企业的控股并购，成立二级平台，整合现有合资企业资源。新设一家由北晟集团控股的合资施工企业：以北晟持有的三家合资施工企业股权作价出资，并补充部分货币资金实现控股；</w:t>
            </w:r>
            <w:r>
              <w:rPr>
                <w:rFonts w:hint="eastAsia" w:ascii="Times New Roman" w:hAnsi="Times New Roman" w:cs="Times New Roman"/>
                <w:sz w:val="21"/>
                <w:szCs w:val="21"/>
                <w:lang w:val="en-US" w:eastAsia="zh-CN"/>
              </w:rPr>
              <w:t>依法依规办理资质承继手续</w:t>
            </w:r>
            <w:r>
              <w:rPr>
                <w:rFonts w:hint="eastAsia" w:ascii="Times New Roman" w:hAnsi="Times New Roman" w:cs="Times New Roman"/>
                <w:sz w:val="21"/>
                <w:szCs w:val="21"/>
              </w:rPr>
              <w:t>，原三家合资企业成为其子公司，形成“一级资质母公司+专业化子公司”的业务架构。</w:t>
            </w:r>
          </w:p>
        </w:tc>
        <w:tc>
          <w:tcPr>
            <w:tcW w:w="2231"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shd w:val="clear" w:color="auto" w:fill="FFFFFF"/>
              </w:rPr>
            </w:pPr>
            <w:r>
              <w:rPr>
                <w:rFonts w:hint="eastAsia" w:ascii="Times New Roman" w:hAnsi="Times New Roman" w:cs="Times New Roman"/>
                <w:sz w:val="21"/>
                <w:szCs w:val="21"/>
                <w:shd w:val="clear" w:color="auto" w:fill="FFFFFF"/>
              </w:rPr>
              <w:t>1</w:t>
            </w:r>
            <w:r>
              <w:rPr>
                <w:rFonts w:ascii="Times New Roman" w:hAnsi="Times New Roman" w:cs="Times New Roman"/>
                <w:sz w:val="21"/>
                <w:szCs w:val="21"/>
                <w:shd w:val="clear" w:color="auto" w:fill="FFFFFF"/>
              </w:rPr>
              <w:t>.</w:t>
            </w:r>
            <w:r>
              <w:rPr>
                <w:rFonts w:hint="eastAsia" w:ascii="Times New Roman" w:hAnsi="Times New Roman" w:cs="Times New Roman"/>
                <w:sz w:val="21"/>
                <w:szCs w:val="21"/>
                <w:shd w:val="clear" w:color="auto" w:fill="FFFFFF"/>
              </w:rPr>
              <w:t>完成全部业务重组与剥离的收尾，</w:t>
            </w:r>
            <w:r>
              <w:rPr>
                <w:rFonts w:hint="eastAsia" w:ascii="Times New Roman" w:hAnsi="Times New Roman" w:cs="Times New Roman"/>
                <w:sz w:val="21"/>
                <w:szCs w:val="21"/>
                <w:shd w:val="clear" w:color="auto" w:fill="FFFFFF"/>
                <w:lang w:val="en-US" w:eastAsia="zh-CN"/>
              </w:rPr>
              <w:t>完备</w:t>
            </w:r>
            <w:r>
              <w:rPr>
                <w:rFonts w:hint="eastAsia" w:ascii="Times New Roman" w:hAnsi="Times New Roman" w:cs="Times New Roman"/>
                <w:sz w:val="21"/>
                <w:szCs w:val="21"/>
                <w:shd w:val="clear" w:color="auto" w:fill="FFFFFF"/>
              </w:rPr>
              <w:t>法律、财务手续。资源向“两大核心、一大增长”业务聚焦。</w:t>
            </w:r>
            <w:r>
              <w:rPr>
                <w:rFonts w:ascii="Times New Roman" w:hAnsi="Times New Roman" w:cs="Times New Roman"/>
                <w:sz w:val="21"/>
                <w:szCs w:val="21"/>
                <w:shd w:val="clear" w:color="auto" w:fill="FFFFFF"/>
              </w:rPr>
              <w:br w:type="textWrapping"/>
            </w:r>
            <w:r>
              <w:rPr>
                <w:rFonts w:hint="eastAsia" w:ascii="Times New Roman" w:hAnsi="Times New Roman" w:cs="Times New Roman"/>
                <w:sz w:val="21"/>
                <w:szCs w:val="21"/>
                <w:shd w:val="clear" w:color="auto" w:fill="FFFFFF"/>
              </w:rPr>
              <w:t>2.实现新业务架构下各板块的独立运作与协同发展。</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shd w:val="clear" w:color="auto" w:fill="FFFFFF"/>
              </w:rPr>
              <w:t>3.完成1-2项非核心、低效资产的剥离或退出，进一步聚焦主业。</w:t>
            </w:r>
          </w:p>
        </w:tc>
        <w:tc>
          <w:tcPr>
            <w:tcW w:w="2253"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Style w:val="20"/>
                <w:rFonts w:ascii="Times New Roman" w:hAnsi="Times New Roman" w:cs="Times New Roman"/>
                <w:b w:val="0"/>
                <w:sz w:val="21"/>
                <w:szCs w:val="21"/>
                <w:shd w:val="clear" w:color="auto" w:fill="FFFFFF"/>
              </w:rPr>
              <w:t>集团领导班子、战略投资部、资产管理和资本运营部、各相关子公司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6" w:hRule="atLeast"/>
          <w:jc w:val="center"/>
        </w:trPr>
        <w:tc>
          <w:tcPr>
            <w:tcW w:w="1926"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sz w:val="21"/>
                <w:szCs w:val="21"/>
              </w:rPr>
            </w:pPr>
            <w:r>
              <w:rPr>
                <w:rFonts w:hint="eastAsia" w:ascii="Times New Roman" w:hAnsi="Times New Roman" w:eastAsia="仿宋_GB2312" w:cs="Times New Roman"/>
                <w:kern w:val="2"/>
                <w:sz w:val="21"/>
                <w:szCs w:val="21"/>
                <w:lang w:val="en-US" w:eastAsia="zh-CN" w:bidi="ar-SA"/>
              </w:rPr>
              <w:t>三、</w:t>
            </w:r>
            <w:r>
              <w:rPr>
                <w:rFonts w:hint="eastAsia" w:ascii="Times New Roman" w:hAnsi="Times New Roman" w:cs="Times New Roman"/>
                <w:sz w:val="21"/>
                <w:szCs w:val="21"/>
              </w:rPr>
              <w:t>资本运作与资源整合</w:t>
            </w:r>
          </w:p>
        </w:tc>
        <w:tc>
          <w:tcPr>
            <w:tcW w:w="2615" w:type="dxa"/>
            <w:vAlign w:val="center"/>
          </w:tcPr>
          <w:p>
            <w:pPr>
              <w:pStyle w:val="2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构建多元化融资体系，盘活存量资产，争取关键资源注入，强化资本与资源支撑。</w:t>
            </w:r>
          </w:p>
        </w:tc>
        <w:tc>
          <w:tcPr>
            <w:tcW w:w="1860"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完成资产清查，建立数字化台账，制定3-5处闲置资产盘活方案并招商</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对接政策，落地1-2个省级以上专项资金或示范项目。</w:t>
            </w:r>
          </w:p>
        </w:tc>
        <w:tc>
          <w:tcPr>
            <w:tcW w:w="331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探索发行绿色债券、乡村振兴票据等创新工具，控制综合融资成本</w:t>
            </w:r>
            <w:r>
              <w:rPr>
                <w:rFonts w:hint="eastAsia" w:ascii="Times New Roman" w:hAnsi="Times New Roman" w:cs="Times New Roman"/>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实现首批闲置资产租赁或合作开发收益，启动1-2项优质资产证券化前期研究</w:t>
            </w:r>
            <w:r>
              <w:rPr>
                <w:rFonts w:hint="eastAsia" w:ascii="Times New Roman" w:hAnsi="Times New Roman" w:cs="Times New Roman"/>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争取新增1项市政公用事业特许经营权或长期运营合同。</w:t>
            </w:r>
          </w:p>
        </w:tc>
        <w:tc>
          <w:tcPr>
            <w:tcW w:w="223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完成国有资产的合规注入，扩大资产规模。</w:t>
            </w:r>
          </w:p>
        </w:tc>
        <w:tc>
          <w:tcPr>
            <w:tcW w:w="2253"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资产管理和资本运营部、财务和融资部、战略投资部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5" w:hRule="atLeast"/>
          <w:jc w:val="center"/>
        </w:trPr>
        <w:tc>
          <w:tcPr>
            <w:tcW w:w="1926"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sz w:val="21"/>
                <w:szCs w:val="21"/>
              </w:rPr>
            </w:pPr>
            <w:r>
              <w:rPr>
                <w:rFonts w:hint="eastAsia" w:ascii="Times New Roman" w:hAnsi="Times New Roman" w:eastAsia="仿宋_GB2312" w:cs="Times New Roman"/>
                <w:kern w:val="2"/>
                <w:sz w:val="21"/>
                <w:szCs w:val="21"/>
                <w:lang w:val="en-US" w:eastAsia="zh-CN" w:bidi="ar-SA"/>
              </w:rPr>
              <w:t>四、</w:t>
            </w:r>
            <w:r>
              <w:rPr>
                <w:rFonts w:hint="eastAsia" w:ascii="Times New Roman" w:hAnsi="Times New Roman" w:cs="Times New Roman"/>
                <w:sz w:val="21"/>
                <w:szCs w:val="21"/>
              </w:rPr>
              <w:t>人才与团队建设</w:t>
            </w:r>
          </w:p>
        </w:tc>
        <w:tc>
          <w:tcPr>
            <w:tcW w:w="2615" w:type="dxa"/>
            <w:vAlign w:val="center"/>
          </w:tcPr>
          <w:p>
            <w:pPr>
              <w:pStyle w:val="2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建立市场化专业化人才体系，缓解关键人才短缺，推进激励机制改革，激发全员活力。</w:t>
            </w:r>
          </w:p>
        </w:tc>
        <w:tc>
          <w:tcPr>
            <w:tcW w:w="1860"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总部设立人力资源部</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市场化引进资本运作、产业招商、数字化运营等紧缺人才3-5名</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启动板块薪酬与绩效考核改革方案设计。</w:t>
            </w:r>
          </w:p>
        </w:tc>
        <w:tc>
          <w:tcPr>
            <w:tcW w:w="331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在1-2家子公司或重点项目试点超额利润分享</w:t>
            </w:r>
            <w:r>
              <w:rPr>
                <w:rFonts w:hint="eastAsia" w:ascii="Times New Roman" w:hAnsi="Times New Roman" w:cs="Times New Roman"/>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实施青年骨干培养计划，选拔20人系统培养</w:t>
            </w:r>
            <w:r>
              <w:rPr>
                <w:rFonts w:hint="eastAsia" w:ascii="Times New Roman" w:hAnsi="Times New Roman" w:cs="Times New Roman"/>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建立内部培训体系，推出首期管理与专业能力课程。</w:t>
            </w:r>
          </w:p>
        </w:tc>
        <w:tc>
          <w:tcPr>
            <w:tcW w:w="223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总结激励试点经验，完善集团激励制度，在符合条件的业务板块扩大市场化激励范围。</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lang w:val="en-US" w:eastAsia="zh-CN"/>
              </w:rPr>
              <w:t>深化</w:t>
            </w:r>
            <w:r>
              <w:rPr>
                <w:rFonts w:hint="eastAsia" w:ascii="Times New Roman" w:hAnsi="Times New Roman" w:cs="Times New Roman"/>
                <w:sz w:val="21"/>
                <w:szCs w:val="21"/>
              </w:rPr>
              <w:t>核心管理和技术骨干任期制与契约化管理。</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形成初级、中级、高级人才梯队，关键岗位人才储备率达到80%以上。</w:t>
            </w:r>
          </w:p>
        </w:tc>
        <w:tc>
          <w:tcPr>
            <w:tcW w:w="2253"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Style w:val="20"/>
                <w:rFonts w:ascii="Times New Roman" w:hAnsi="Times New Roman" w:cs="Times New Roman"/>
                <w:b w:val="0"/>
                <w:sz w:val="21"/>
                <w:szCs w:val="21"/>
                <w:shd w:val="clear" w:color="auto" w:fill="FFFFFF"/>
              </w:rPr>
              <w:t>董事会、综合办公室（人力资源部）、各子公司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26"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rPr>
            </w:pPr>
            <w:r>
              <w:rPr>
                <w:rFonts w:hint="eastAsia" w:ascii="Times New Roman" w:hAnsi="Times New Roman" w:eastAsia="仿宋_GB2312" w:cs="Times New Roman"/>
                <w:kern w:val="2"/>
                <w:sz w:val="21"/>
                <w:szCs w:val="21"/>
                <w:lang w:val="en-US" w:eastAsia="zh-CN" w:bidi="ar-SA"/>
              </w:rPr>
              <w:t>五、</w:t>
            </w:r>
            <w:r>
              <w:rPr>
                <w:rFonts w:hint="eastAsia" w:ascii="Times New Roman" w:hAnsi="Times New Roman" w:cs="Times New Roman"/>
                <w:sz w:val="21"/>
                <w:szCs w:val="21"/>
                <w:lang w:val="en-US" w:eastAsia="zh-CN"/>
              </w:rPr>
              <w:t>风控与法务体系建设</w:t>
            </w:r>
          </w:p>
        </w:tc>
        <w:tc>
          <w:tcPr>
            <w:tcW w:w="2615" w:type="dxa"/>
            <w:vAlign w:val="center"/>
          </w:tcPr>
          <w:p>
            <w:pPr>
              <w:pStyle w:val="2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构建投资、财务、法律、合规全链条风控体系，提升风险识别、预警与应对能力。</w:t>
            </w:r>
          </w:p>
        </w:tc>
        <w:tc>
          <w:tcPr>
            <w:tcW w:w="1860"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完成风控法务部架构设计与人员配置，明确职责分工</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制定全面风险管理、合规管理等基础制度，建立风险闭环管理流程</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建立重大经营决策法律审核机制，实现“三重一大”法务审核全覆盖。</w:t>
            </w:r>
          </w:p>
        </w:tc>
        <w:tc>
          <w:tcPr>
            <w:tcW w:w="331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完善投资、融资、工程、采购等重点领域专项风控制度与指引</w:t>
            </w:r>
            <w:r>
              <w:rPr>
                <w:rFonts w:hint="eastAsia" w:ascii="Times New Roman" w:hAnsi="Times New Roman" w:cs="Times New Roman"/>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建立债务风险动态监测预警机制，季度监控关键指标</w:t>
            </w:r>
            <w:r>
              <w:rPr>
                <w:rFonts w:hint="eastAsia" w:ascii="Times New Roman" w:hAnsi="Times New Roman" w:cs="Times New Roman"/>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对重点项目、重大投资全程法律风险跟踪，建立台账</w:t>
            </w:r>
            <w:r>
              <w:rPr>
                <w:rFonts w:hint="eastAsia" w:ascii="Times New Roman" w:hAnsi="Times New Roman" w:cs="Times New Roman"/>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4．</w:t>
            </w:r>
            <w:r>
              <w:rPr>
                <w:rFonts w:hint="eastAsia" w:ascii="Times New Roman" w:hAnsi="Times New Roman" w:cs="Times New Roman"/>
                <w:sz w:val="21"/>
                <w:szCs w:val="21"/>
              </w:rPr>
              <w:t>完成并购、混改等重大项目专项法律尽调与风险评审。</w:t>
            </w:r>
          </w:p>
        </w:tc>
        <w:tc>
          <w:tcPr>
            <w:tcW w:w="223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shd w:val="clear" w:color="auto" w:fill="FFFFFF"/>
              </w:rPr>
            </w:pPr>
            <w:r>
              <w:rPr>
                <w:rFonts w:hint="default" w:ascii="Times New Roman" w:hAnsi="Times New Roman" w:eastAsia="仿宋_GB2312" w:cs="Times New Roman"/>
                <w:kern w:val="2"/>
                <w:sz w:val="21"/>
                <w:szCs w:val="21"/>
                <w:shd w:val="clear" w:fill="FFFFFF"/>
                <w:lang w:val="en-US" w:eastAsia="zh-CN" w:bidi="ar-SA"/>
              </w:rPr>
              <w:t>1．</w:t>
            </w:r>
            <w:r>
              <w:rPr>
                <w:rFonts w:hint="eastAsia" w:ascii="Times New Roman" w:hAnsi="Times New Roman" w:cs="Times New Roman"/>
                <w:sz w:val="21"/>
                <w:szCs w:val="21"/>
                <w:shd w:val="clear" w:color="auto" w:fill="FFFFFF"/>
              </w:rPr>
              <w:t>建成集团数字化风控平台，实现对投资、财务、法律等关键风险实时监控与预警。</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left"/>
              <w:textAlignment w:val="auto"/>
              <w:rPr>
                <w:rFonts w:ascii="Times New Roman" w:hAnsi="Times New Roman" w:cs="Times New Roman"/>
                <w:sz w:val="21"/>
                <w:szCs w:val="21"/>
                <w:shd w:val="clear" w:color="auto" w:fill="FFFFFF"/>
              </w:rPr>
            </w:pPr>
            <w:r>
              <w:rPr>
                <w:rFonts w:hint="default" w:ascii="Times New Roman" w:hAnsi="Times New Roman" w:eastAsia="仿宋_GB2312" w:cs="Times New Roman"/>
                <w:kern w:val="2"/>
                <w:sz w:val="21"/>
                <w:szCs w:val="21"/>
                <w:shd w:val="clear" w:fill="FFFFFF"/>
                <w:lang w:val="en-US" w:eastAsia="zh-CN" w:bidi="ar-SA"/>
              </w:rPr>
              <w:t>2．</w:t>
            </w:r>
            <w:r>
              <w:rPr>
                <w:rFonts w:hint="eastAsia" w:ascii="Times New Roman" w:hAnsi="Times New Roman" w:cs="Times New Roman"/>
                <w:sz w:val="21"/>
                <w:szCs w:val="21"/>
                <w:shd w:val="clear" w:color="auto" w:fill="FFFFFF"/>
              </w:rPr>
              <w:t>完成集团内控体系有效性评价与优化，形成《内控管理手册》。</w:t>
            </w:r>
          </w:p>
        </w:tc>
        <w:tc>
          <w:tcPr>
            <w:tcW w:w="2253"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Style w:val="20"/>
                <w:rFonts w:hint="default" w:ascii="Times New Roman" w:hAnsi="Times New Roman" w:eastAsia="仿宋_GB2312" w:cs="Times New Roman"/>
                <w:b w:val="0"/>
                <w:sz w:val="21"/>
                <w:szCs w:val="21"/>
                <w:shd w:val="clear" w:color="auto" w:fill="FFFFFF"/>
                <w:lang w:val="en-US" w:eastAsia="zh-CN"/>
              </w:rPr>
            </w:pPr>
            <w:r>
              <w:rPr>
                <w:rStyle w:val="20"/>
                <w:rFonts w:hint="eastAsia" w:ascii="Times New Roman" w:hAnsi="Times New Roman" w:cs="Times New Roman"/>
                <w:b w:val="0"/>
                <w:sz w:val="21"/>
                <w:szCs w:val="21"/>
                <w:shd w:val="clear" w:color="auto" w:fill="FFFFFF"/>
                <w:lang w:val="en-US" w:eastAsia="zh-CN"/>
              </w:rPr>
              <w:t>综合办公室、风控法务部、各子公司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5" w:hRule="atLeast"/>
          <w:jc w:val="center"/>
        </w:trPr>
        <w:tc>
          <w:tcPr>
            <w:tcW w:w="1926"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sz w:val="21"/>
                <w:szCs w:val="21"/>
              </w:rPr>
            </w:pPr>
            <w:r>
              <w:rPr>
                <w:rFonts w:hint="eastAsia" w:ascii="Times New Roman" w:hAnsi="Times New Roman" w:eastAsia="仿宋_GB2312" w:cs="Times New Roman"/>
                <w:kern w:val="2"/>
                <w:sz w:val="21"/>
                <w:szCs w:val="21"/>
                <w:lang w:val="en-US" w:eastAsia="zh-CN" w:bidi="ar-SA"/>
              </w:rPr>
              <w:t>六、</w:t>
            </w:r>
            <w:r>
              <w:rPr>
                <w:rFonts w:hint="eastAsia" w:ascii="Times New Roman" w:hAnsi="Times New Roman" w:cs="Times New Roman"/>
                <w:sz w:val="21"/>
                <w:szCs w:val="21"/>
              </w:rPr>
              <w:t>核心业务发展（城市投资建设运营）</w:t>
            </w:r>
          </w:p>
        </w:tc>
        <w:tc>
          <w:tcPr>
            <w:tcW w:w="2615" w:type="dxa"/>
            <w:vAlign w:val="center"/>
          </w:tcPr>
          <w:p>
            <w:pPr>
              <w:pStyle w:val="2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培育投融建运一体化核心主体，打造稳定现金流，成为恩平城市建设市场化主导力量。</w:t>
            </w:r>
          </w:p>
        </w:tc>
        <w:tc>
          <w:tcPr>
            <w:tcW w:w="1860"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lang w:eastAsia="zh-CN"/>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完成高等级施工总承包资质企业控股并购</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lang w:eastAsia="zh-CN"/>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推动恩源规划设计院划转并市场化改制</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建立政府重大项目常态化对接机制，储备不少于3个专项债项目。</w:t>
            </w:r>
          </w:p>
        </w:tc>
        <w:tc>
          <w:tcPr>
            <w:tcW w:w="3315"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lang w:eastAsia="zh-CN"/>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二级平台正式运营，整合合资施工企业，统一业务出口</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lang w:eastAsia="zh-CN"/>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大槐搅拌站建成投产，搭建内部建材集中采购平台</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承接1-2个投建一体化市场化项目。</w:t>
            </w:r>
          </w:p>
        </w:tc>
        <w:tc>
          <w:tcPr>
            <w:tcW w:w="2231" w:type="dxa"/>
            <w:vAlign w:val="center"/>
          </w:tcPr>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eastAsia" w:ascii="Times New Roman" w:hAnsi="Times New Roman" w:cs="Times New Roman"/>
                <w:sz w:val="21"/>
                <w:szCs w:val="21"/>
              </w:rPr>
              <w:t>1.板块营业收入占比提升至15%以上，利润贡献稳步增长。</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eastAsia" w:ascii="Times New Roman" w:hAnsi="Times New Roman" w:cs="Times New Roman"/>
                <w:sz w:val="21"/>
                <w:szCs w:val="21"/>
              </w:rPr>
              <w:t>2.推广BIM技术及智慧工地管理系统，提升工程管理数字化水平。</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3.拓展市政设施运维等后端运营业务，与民生服务板块形成协同。</w:t>
            </w:r>
          </w:p>
        </w:tc>
        <w:tc>
          <w:tcPr>
            <w:tcW w:w="2253" w:type="dxa"/>
            <w:vMerge w:val="restar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1"/>
                <w:szCs w:val="21"/>
                <w:lang w:val="en-US" w:eastAsia="zh-CN"/>
              </w:rPr>
            </w:pPr>
            <w:r>
              <w:rPr>
                <w:rFonts w:hint="eastAsia" w:ascii="Times New Roman" w:hAnsi="Times New Roman" w:cs="Times New Roman"/>
                <w:sz w:val="21"/>
                <w:szCs w:val="21"/>
              </w:rPr>
              <w:t>各子公司、战略投资部</w:t>
            </w: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资产管理和资本运营部、财务和融资部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7" w:hRule="atLeast"/>
          <w:jc w:val="center"/>
        </w:trPr>
        <w:tc>
          <w:tcPr>
            <w:tcW w:w="1926" w:type="dxa"/>
            <w:tcBorders>
              <w:left w:val="single" w:color="auto" w:sz="4" w:space="0"/>
            </w:tcBorders>
            <w:vAlign w:val="center"/>
          </w:tcPr>
          <w:p>
            <w:pPr>
              <w:pStyle w:val="2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六、核心业务发展（民生服务）</w:t>
            </w:r>
          </w:p>
        </w:tc>
        <w:tc>
          <w:tcPr>
            <w:tcW w:w="2615" w:type="dxa"/>
            <w:vAlign w:val="center"/>
          </w:tcPr>
          <w:p>
            <w:pPr>
              <w:pStyle w:val="2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板块整体扭亏为盈，打造统一城市服务品牌，构建“基础服务+增值服务”盈利模式。</w:t>
            </w:r>
          </w:p>
        </w:tc>
        <w:tc>
          <w:tcPr>
            <w:tcW w:w="1860" w:type="dxa"/>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以公用公司为核心，设立城市服务、文体旅游、社区康养、数字科技四大事业部</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lang w:eastAsia="zh-CN"/>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完成物业、保安公司合并，组建专业物管子公司</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lang w:eastAsia="zh-CN"/>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板块试点职业经理人制度，建立业绩导向考核体系</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4.</w:t>
            </w:r>
            <w:r>
              <w:rPr>
                <w:rFonts w:hint="eastAsia" w:ascii="Times New Roman" w:hAnsi="Times New Roman" w:cs="Times New Roman"/>
                <w:sz w:val="21"/>
                <w:szCs w:val="21"/>
              </w:rPr>
              <w:t>启动数字科技公司组建，明确定位与业务方向。</w:t>
            </w:r>
          </w:p>
        </w:tc>
        <w:tc>
          <w:tcPr>
            <w:tcW w:w="3315" w:type="dxa"/>
            <w:vAlign w:val="center"/>
          </w:tcPr>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shd w:val="clear" w:color="auto" w:fill="FFFFFF"/>
              </w:rPr>
            </w:pPr>
            <w:r>
              <w:rPr>
                <w:rFonts w:hint="eastAsia" w:ascii="Times New Roman" w:hAnsi="Times New Roman" w:cs="Times New Roman"/>
                <w:sz w:val="21"/>
                <w:szCs w:val="21"/>
                <w:shd w:val="clear" w:color="auto" w:fill="FFFFFF"/>
              </w:rPr>
              <w:t>1.拓展1个高校后勤社会化服务项目。</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shd w:val="clear" w:color="auto" w:fill="FFFFFF"/>
              </w:rPr>
            </w:pPr>
            <w:r>
              <w:rPr>
                <w:rFonts w:hint="eastAsia" w:ascii="Times New Roman" w:hAnsi="Times New Roman" w:cs="Times New Roman"/>
                <w:sz w:val="21"/>
                <w:szCs w:val="21"/>
                <w:shd w:val="clear" w:color="auto" w:fill="FFFFFF"/>
              </w:rPr>
              <w:t>2.整合环卫、绿化、市政维护业务，试点“城市管家”模式。</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shd w:val="clear" w:color="auto" w:fill="FFFFFF"/>
              </w:rPr>
            </w:pPr>
            <w:r>
              <w:rPr>
                <w:rFonts w:hint="eastAsia" w:ascii="Times New Roman" w:hAnsi="Times New Roman" w:cs="Times New Roman"/>
                <w:sz w:val="21"/>
                <w:szCs w:val="21"/>
                <w:shd w:val="clear" w:color="auto" w:fill="FFFFFF"/>
              </w:rPr>
              <w:t>3.启动社区康养试点，建设运营2个社区老年服务站。</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shd w:val="clear" w:color="auto" w:fill="FFFFFF"/>
              </w:rPr>
            </w:pPr>
            <w:r>
              <w:rPr>
                <w:rFonts w:hint="eastAsia" w:ascii="Times New Roman" w:hAnsi="Times New Roman" w:cs="Times New Roman"/>
                <w:sz w:val="21"/>
                <w:szCs w:val="21"/>
                <w:shd w:val="clear" w:color="auto" w:fill="FFFFFF"/>
              </w:rPr>
              <w:t>4.打造文体服务标杆项目，完成小岛片区体育中心体育馆改造并全面投入运营。</w:t>
            </w:r>
          </w:p>
        </w:tc>
        <w:tc>
          <w:tcPr>
            <w:tcW w:w="2231" w:type="dxa"/>
            <w:vAlign w:val="center"/>
          </w:tcPr>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eastAsia" w:ascii="Times New Roman" w:hAnsi="Times New Roman" w:cs="Times New Roman"/>
                <w:sz w:val="21"/>
                <w:szCs w:val="21"/>
              </w:rPr>
              <w:t>1.板块整体盈利，培育至少2个在恩平有影响力的品牌服务项目。</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eastAsia" w:ascii="Times New Roman" w:hAnsi="Times New Roman" w:cs="Times New Roman"/>
                <w:sz w:val="21"/>
                <w:szCs w:val="21"/>
              </w:rPr>
              <w:t>2.深化文体旅融合，成功策划并举办一项区域性品牌文体活动。</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eastAsia" w:ascii="Times New Roman" w:hAnsi="Times New Roman" w:cs="Times New Roman"/>
                <w:sz w:val="21"/>
                <w:szCs w:val="21"/>
              </w:rPr>
              <w:t>3.智慧管理平台在主要业务线上线应用。</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eastAsia" w:ascii="Times New Roman" w:hAnsi="Times New Roman" w:cs="Times New Roman"/>
                <w:sz w:val="21"/>
                <w:szCs w:val="21"/>
              </w:rPr>
              <w:t>4.探索建筑垃圾资源化处理业务，启动试点项目。</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5.数字科技公司实现业务拓展，培育数据运营新兴能力。</w:t>
            </w:r>
          </w:p>
        </w:tc>
        <w:tc>
          <w:tcPr>
            <w:tcW w:w="2253" w:type="dxa"/>
            <w:vMerge w:val="continue"/>
            <w:tcBorders>
              <w:right w:val="single" w:color="auto" w:sz="4" w:space="0"/>
            </w:tcBorders>
            <w:vAlign w:val="center"/>
          </w:tcPr>
          <w:p>
            <w:pPr>
              <w:pStyle w:val="2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8" w:hRule="atLeast"/>
          <w:jc w:val="center"/>
        </w:trPr>
        <w:tc>
          <w:tcPr>
            <w:tcW w:w="1926" w:type="dxa"/>
            <w:tcBorders>
              <w:top w:val="single" w:color="auto" w:sz="4" w:space="0"/>
              <w:left w:val="single" w:color="auto" w:sz="4" w:space="0"/>
              <w:bottom w:val="single" w:color="auto" w:sz="4" w:space="0"/>
            </w:tcBorders>
            <w:vAlign w:val="center"/>
          </w:tcPr>
          <w:p>
            <w:pPr>
              <w:pStyle w:val="2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七、增长业务培育（乡村振兴）</w:t>
            </w:r>
          </w:p>
        </w:tc>
        <w:tc>
          <w:tcPr>
            <w:tcW w:w="2615" w:type="dxa"/>
            <w:tcBorders>
              <w:top w:val="single" w:color="auto" w:sz="4" w:space="0"/>
              <w:bottom w:val="single" w:color="auto" w:sz="4" w:space="0"/>
            </w:tcBorders>
            <w:vAlign w:val="center"/>
          </w:tcPr>
          <w:p>
            <w:pPr>
              <w:pStyle w:val="2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构建“资源整合+产业服务+融合开发”模式，转化生态价值，打造集团新增长极。</w:t>
            </w:r>
          </w:p>
        </w:tc>
        <w:tc>
          <w:tcPr>
            <w:tcW w:w="1860" w:type="dxa"/>
            <w:tcBorders>
              <w:top w:val="single" w:color="auto" w:sz="4" w:space="0"/>
              <w:bottom w:val="single" w:color="auto" w:sz="4" w:space="0"/>
            </w:tcBorders>
            <w:vAlign w:val="center"/>
          </w:tcPr>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lang w:eastAsia="zh-CN"/>
              </w:rPr>
            </w:pPr>
            <w:r>
              <w:rPr>
                <w:rFonts w:hint="default" w:ascii="Times New Roman" w:hAnsi="Times New Roman" w:eastAsia="仿宋_GB2312" w:cs="Times New Roman"/>
                <w:kern w:val="2"/>
                <w:sz w:val="21"/>
                <w:szCs w:val="21"/>
                <w:lang w:val="en-US" w:eastAsia="zh-CN" w:bidi="ar-SA"/>
              </w:rPr>
              <w:t>1.</w:t>
            </w:r>
            <w:r>
              <w:rPr>
                <w:rFonts w:hint="eastAsia" w:ascii="Times New Roman" w:hAnsi="Times New Roman" w:cs="Times New Roman"/>
                <w:sz w:val="21"/>
                <w:szCs w:val="21"/>
              </w:rPr>
              <w:t>完成全域土地、闲置农房等资源清查与数字化入库，建立动态项目库</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lang w:eastAsia="zh-CN"/>
              </w:rPr>
            </w:pPr>
            <w:r>
              <w:rPr>
                <w:rFonts w:hint="default" w:ascii="Times New Roman" w:hAnsi="Times New Roman" w:eastAsia="仿宋_GB2312" w:cs="Times New Roman"/>
                <w:kern w:val="2"/>
                <w:sz w:val="21"/>
                <w:szCs w:val="21"/>
                <w:lang w:val="en-US" w:eastAsia="zh-CN" w:bidi="ar-SA"/>
              </w:rPr>
              <w:t>2.</w:t>
            </w:r>
            <w:r>
              <w:rPr>
                <w:rFonts w:hint="eastAsia" w:ascii="Times New Roman" w:hAnsi="Times New Roman" w:cs="Times New Roman"/>
                <w:sz w:val="21"/>
                <w:szCs w:val="21"/>
              </w:rPr>
              <w:t>启动农业社会化菜单式托管试点</w:t>
            </w:r>
            <w:r>
              <w:rPr>
                <w:rFonts w:hint="eastAsia" w:ascii="Times New Roman" w:hAnsi="Times New Roman" w:cs="Times New Roman"/>
                <w:sz w:val="21"/>
                <w:szCs w:val="21"/>
                <w:lang w:eastAsia="zh-CN"/>
              </w:rPr>
              <w:t>。</w:t>
            </w:r>
          </w:p>
          <w:p>
            <w:pPr>
              <w:pStyle w:val="2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default" w:ascii="Times New Roman" w:hAnsi="Times New Roman" w:eastAsia="仿宋_GB2312" w:cs="Times New Roman"/>
                <w:kern w:val="2"/>
                <w:sz w:val="21"/>
                <w:szCs w:val="21"/>
                <w:lang w:val="en-US" w:eastAsia="zh-CN" w:bidi="ar-SA"/>
              </w:rPr>
              <w:t>3.</w:t>
            </w:r>
            <w:r>
              <w:rPr>
                <w:rFonts w:hint="eastAsia" w:ascii="Times New Roman" w:hAnsi="Times New Roman" w:cs="Times New Roman"/>
                <w:sz w:val="21"/>
                <w:szCs w:val="21"/>
              </w:rPr>
              <w:t>完成首笔林业碳汇交易，打通生态产品价值路径。</w:t>
            </w:r>
          </w:p>
        </w:tc>
        <w:tc>
          <w:tcPr>
            <w:tcW w:w="3315" w:type="dxa"/>
            <w:tcBorders>
              <w:top w:val="single" w:color="auto" w:sz="4" w:space="0"/>
              <w:bottom w:val="single" w:color="auto" w:sz="4" w:space="0"/>
            </w:tcBorders>
            <w:vAlign w:val="center"/>
          </w:tcPr>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eastAsia" w:ascii="Times New Roman" w:hAnsi="Times New Roman" w:cs="Times New Roman"/>
                <w:sz w:val="21"/>
                <w:szCs w:val="21"/>
              </w:rPr>
              <w:t>1.建成区域性现代农事服务中心，集成农资、农机、金融、电商等服务功能。</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eastAsia="仿宋_GB2312" w:cs="Times New Roman"/>
                <w:sz w:val="21"/>
                <w:szCs w:val="21"/>
                <w:lang w:eastAsia="zh-CN"/>
              </w:rPr>
            </w:pPr>
            <w:r>
              <w:rPr>
                <w:rFonts w:hint="eastAsia" w:ascii="Times New Roman" w:hAnsi="Times New Roman" w:cs="Times New Roman"/>
                <w:sz w:val="21"/>
                <w:szCs w:val="21"/>
              </w:rPr>
              <w:t>2.开发“温泉+康养”主题产品</w:t>
            </w:r>
            <w:r>
              <w:rPr>
                <w:rFonts w:hint="eastAsia" w:ascii="Times New Roman" w:hAnsi="Times New Roman" w:cs="Times New Roman"/>
                <w:sz w:val="21"/>
                <w:szCs w:val="21"/>
                <w:lang w:eastAsia="zh-CN"/>
              </w:rPr>
              <w:t>。</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3.搭建智慧农业云服务平台，实现服务线上撮合与生产数据化管理。</w:t>
            </w:r>
          </w:p>
        </w:tc>
        <w:tc>
          <w:tcPr>
            <w:tcW w:w="2231" w:type="dxa"/>
            <w:tcBorders>
              <w:top w:val="single" w:color="auto" w:sz="4" w:space="0"/>
              <w:bottom w:val="single" w:color="auto" w:sz="4" w:space="0"/>
            </w:tcBorders>
            <w:vAlign w:val="center"/>
          </w:tcPr>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eastAsia" w:ascii="Times New Roman" w:hAnsi="Times New Roman" w:cs="Times New Roman"/>
                <w:sz w:val="21"/>
                <w:szCs w:val="21"/>
              </w:rPr>
              <w:t>1.“恩平优品”区域公用品牌进入大湾区主流商超渠道，品牌溢价初步显现。</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cs="Times New Roman"/>
                <w:sz w:val="21"/>
                <w:szCs w:val="21"/>
              </w:rPr>
            </w:pPr>
            <w:r>
              <w:rPr>
                <w:rFonts w:hint="eastAsia" w:ascii="Times New Roman" w:hAnsi="Times New Roman" w:cs="Times New Roman"/>
                <w:sz w:val="21"/>
                <w:szCs w:val="21"/>
              </w:rPr>
              <w:t>2.农文旅融合项目年接待游客量突破10万人次。</w:t>
            </w:r>
          </w:p>
          <w:p>
            <w:pPr>
              <w:pStyle w:val="22"/>
              <w:keepNext w:val="0"/>
              <w:keepLines w:val="0"/>
              <w:pageBreakBefore w:val="0"/>
              <w:widowControl w:val="0"/>
              <w:numPr>
                <w:ilvl w:val="255"/>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r>
              <w:rPr>
                <w:rFonts w:hint="eastAsia" w:ascii="Times New Roman" w:hAnsi="Times New Roman" w:cs="Times New Roman"/>
                <w:sz w:val="21"/>
                <w:szCs w:val="21"/>
              </w:rPr>
              <w:t>3.生态产品交易中心年交易额超过500万元。</w:t>
            </w:r>
          </w:p>
        </w:tc>
        <w:tc>
          <w:tcPr>
            <w:tcW w:w="2253" w:type="dxa"/>
            <w:vMerge w:val="continue"/>
            <w:tcBorders>
              <w:top w:val="single" w:color="auto" w:sz="4" w:space="0"/>
              <w:bottom w:val="single" w:color="auto" w:sz="4" w:space="0"/>
              <w:right w:val="single" w:color="auto" w:sz="4" w:space="0"/>
            </w:tcBorders>
            <w:vAlign w:val="center"/>
          </w:tcPr>
          <w:p>
            <w:pPr>
              <w:pStyle w:val="2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Times New Roman" w:hAnsi="Times New Roman" w:cs="Times New Roman"/>
                <w:sz w:val="21"/>
                <w:szCs w:val="21"/>
              </w:rPr>
            </w:pPr>
          </w:p>
        </w:tc>
      </w:tr>
    </w:tbl>
    <w:p>
      <w:pPr>
        <w:ind w:left="0" w:leftChars="0" w:firstLine="0" w:firstLineChars="0"/>
        <w:rPr>
          <w:rFonts w:hint="eastAsia" w:ascii="Times New Roman" w:hAnsi="Times New Roman" w:cs="Times New Roman"/>
        </w:rPr>
      </w:pPr>
    </w:p>
    <w:p>
      <w:pPr>
        <w:rPr>
          <w:rFonts w:hint="eastAsia" w:ascii="Times New Roman" w:hAnsi="Times New Roman" w:cs="Times New Roman"/>
        </w:rPr>
      </w:pPr>
      <w:r>
        <w:rPr>
          <w:rFonts w:hint="eastAsia" w:ascii="Times New Roman" w:hAnsi="Times New Roman" w:cs="Times New Roman"/>
        </w:rPr>
        <w:br w:type="page"/>
      </w:r>
    </w:p>
    <w:p>
      <w:pPr>
        <w:pStyle w:val="2"/>
        <w:numPr>
          <w:ilvl w:val="0"/>
          <w:numId w:val="0"/>
        </w:numPr>
        <w:bidi w:val="0"/>
        <w:ind w:leftChars="0"/>
        <w:jc w:val="both"/>
        <w:rPr>
          <w:rFonts w:hint="eastAsia" w:ascii="Times New Roman" w:hAnsi="Times New Roman" w:cs="Times New Roman"/>
          <w:lang w:val="en-US" w:eastAsia="zh-CN"/>
        </w:rPr>
        <w:sectPr>
          <w:footerReference r:id="rId14" w:type="first"/>
          <w:footerReference r:id="rId13" w:type="default"/>
          <w:pgSz w:w="16838" w:h="11906" w:orient="landscape"/>
          <w:pgMar w:top="1587" w:right="2098" w:bottom="1474" w:left="1984" w:header="851" w:footer="992" w:gutter="0"/>
          <w:cols w:space="0" w:num="1"/>
          <w:rtlGutter w:val="0"/>
          <w:docGrid w:type="lines" w:linePitch="442" w:charSpace="0"/>
        </w:sectPr>
      </w:pPr>
    </w:p>
    <w:p>
      <w:pPr>
        <w:pStyle w:val="2"/>
        <w:numPr>
          <w:ilvl w:val="0"/>
          <w:numId w:val="0"/>
        </w:numPr>
        <w:bidi w:val="0"/>
        <w:ind w:leftChars="0"/>
        <w:jc w:val="both"/>
        <w:rPr>
          <w:rFonts w:ascii="Times New Roman" w:hAnsi="Times New Roman" w:cs="Times New Roman"/>
          <w:highlight w:val="none"/>
        </w:rPr>
      </w:pPr>
      <w:bookmarkStart w:id="235" w:name="_Toc29391"/>
      <w:bookmarkStart w:id="236" w:name="_Toc5911"/>
      <w:r>
        <w:rPr>
          <w:rFonts w:hint="eastAsia" w:ascii="Times New Roman" w:hAnsi="Times New Roman" w:cs="Times New Roman"/>
          <w:lang w:val="en-US" w:eastAsia="zh-CN"/>
        </w:rPr>
        <w:t>附件二：</w:t>
      </w:r>
      <w:r>
        <w:rPr>
          <w:rFonts w:hint="eastAsia" w:ascii="Times New Roman" w:hAnsi="Times New Roman" w:cs="Times New Roman"/>
        </w:rPr>
        <w:t>恩平市公有资产经营有限公司“十五五”（2026—2030年）企业发展规划</w:t>
      </w:r>
      <w:bookmarkEnd w:id="235"/>
      <w:bookmarkEnd w:id="236"/>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jc w:val="center"/>
        <w:textAlignment w:val="auto"/>
        <w:rPr>
          <w:rFonts w:hint="default" w:ascii="Times New Roman" w:hAnsi="Times New Roman" w:cs="Times New Roman"/>
          <w:highlight w:val="none"/>
        </w:rPr>
      </w:pPr>
      <w:bookmarkStart w:id="237" w:name="_Toc23498"/>
      <w:bookmarkStart w:id="238" w:name="_Toc3910"/>
      <w:bookmarkStart w:id="239" w:name="_Toc2273"/>
      <w:bookmarkStart w:id="240" w:name="_Toc29420"/>
      <w:bookmarkStart w:id="241" w:name="_Toc22900"/>
      <w:bookmarkStart w:id="242" w:name="_Toc21814"/>
      <w:r>
        <w:rPr>
          <w:rFonts w:hint="eastAsia" w:ascii="Times New Roman" w:hAnsi="Times New Roman" w:eastAsia="黑体" w:cs="Times New Roman"/>
          <w:bCs/>
          <w:kern w:val="44"/>
          <w:sz w:val="32"/>
          <w:szCs w:val="48"/>
          <w:lang w:val="en-US" w:eastAsia="zh-CN" w:bidi="ar-SA"/>
        </w:rPr>
        <w:t xml:space="preserve">第一章 </w:t>
      </w:r>
      <w:r>
        <w:rPr>
          <w:rFonts w:ascii="Times New Roman" w:hAnsi="Times New Roman" w:cs="Times New Roman"/>
          <w:highlight w:val="none"/>
        </w:rPr>
        <w:t>发展环境</w:t>
      </w:r>
      <w:bookmarkEnd w:id="237"/>
      <w:bookmarkEnd w:id="238"/>
      <w:bookmarkEnd w:id="239"/>
      <w:bookmarkEnd w:id="240"/>
      <w:bookmarkEnd w:id="241"/>
      <w:bookmarkEnd w:id="242"/>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243" w:name="_Toc26036"/>
      <w:bookmarkStart w:id="244" w:name="_Toc3654"/>
      <w:bookmarkStart w:id="245" w:name="_Toc22744"/>
      <w:bookmarkStart w:id="246" w:name="_Toc9421"/>
      <w:bookmarkStart w:id="247" w:name="_Toc21243"/>
      <w:bookmarkStart w:id="248" w:name="_Toc17437"/>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highlight w:val="none"/>
        </w:rPr>
        <w:t>外部环境分析</w:t>
      </w:r>
      <w:bookmarkEnd w:id="243"/>
      <w:bookmarkEnd w:id="244"/>
      <w:bookmarkEnd w:id="245"/>
      <w:bookmarkEnd w:id="246"/>
      <w:bookmarkEnd w:id="247"/>
      <w:bookmarkEnd w:id="248"/>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宏观层面，国企改革深化提升明确要求明晰国企功能定位，推动国有资本向公益性领域集中，加快剥离非主业、非优势业务，处置低效、无效资产，为公司专业化化解历史包袱提供政策机遇；国家出台存量资产盘活专项政策，鼓励通过多元方式挖掘闲置资产价值，为公司向资产盘活运营平台转型提供直接指引。同时，广东省“百千万工程”、江门市“1+6+3”工作部署为公司争取政策补贴、拓展多元业务搭建框架，国家地方政府债务置换及化债相关政策，也为公司破解历史欠款难题提供了潜在资金窗口，明确了“以盘活促化债”的核心路径。</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行业层面，公交客运行业虽面临客流萎缩、成本攀升、票价刚性的普遍挑战，但政策进一步压实财政补贴责任，鼓励定制公交、场站综合开发等多元化经营，珠海公交“横琴动态公交”等创新模式，为公司公交业务提质增效、培育增量业务提供实践参考；物业管理行业随房地产进入存量时代，从规模扩张转向存量深耕，聚焦绩效与现金流，政策鼓励向“物业服务+生活服务”延伸，国有物业企业在县域公共物业项目承接上的公信力和资源优势，为公司下属诚睿物业公司整合闲置物业、拓展增值服务实现“弯道超车”创造了市场空间。</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区域层面，恩平市为江门市代管县级市，地处粤港澳大湾区西南端，高速、铁路、港口交通配套完善，是连接粤西、辐射大西南的重要节点，境内文旅资源丰富，温泉旅游产业成熟，获评多项国家级文旅、生态称号，</w:t>
      </w:r>
      <w:r>
        <w:rPr>
          <w:rFonts w:hint="eastAsia" w:ascii="Times New Roman" w:hAnsi="Times New Roman" w:cs="Times New Roman"/>
          <w:highlight w:val="none"/>
          <w:lang w:val="en-US" w:eastAsia="zh-CN"/>
        </w:rPr>
        <w:t>已成功</w:t>
      </w:r>
      <w:r>
        <w:rPr>
          <w:rFonts w:ascii="Times New Roman" w:hAnsi="Times New Roman" w:cs="Times New Roman"/>
          <w:highlight w:val="none"/>
        </w:rPr>
        <w:t>创建广东省全域旅游示范区。2024年该市GDP、人均GDP均居江门区县末位，财政自给能力薄弱，2025年1-9月第三产业成为经济增长核心动力；2024年末常住人口城镇化率52.79%，仍有较大提升空间，随着“百千万工程”推进，城乡融合加速带动乡镇与城区间客货流需求持续增长。当地发展契合广东省“交通+文旅”导向，公司规划的出租车、恩平港运营、农村客货邮融合等业务可争取政策资金与用地支持，区域发展为公司业务布局提供了基础与机遇。</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249" w:name="_Toc3067"/>
      <w:bookmarkStart w:id="250" w:name="_Toc1860"/>
      <w:bookmarkStart w:id="251" w:name="_Toc23210"/>
      <w:bookmarkStart w:id="252" w:name="_Toc30820"/>
      <w:bookmarkStart w:id="253" w:name="_Toc1789"/>
      <w:bookmarkStart w:id="254" w:name="_Toc5138"/>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highlight w:val="none"/>
        </w:rPr>
        <w:t>内部环境分析</w:t>
      </w:r>
      <w:bookmarkEnd w:id="249"/>
      <w:bookmarkEnd w:id="250"/>
      <w:bookmarkEnd w:id="251"/>
      <w:bookmarkEnd w:id="252"/>
      <w:bookmarkEnd w:id="253"/>
      <w:bookmarkEnd w:id="254"/>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公司历经多轮整合形成“5+1”业务格局，现管辖337家企业，仅诚睿物业、恒顺汽车运输、恩鑫矿业公司3家正常运营，核心以资产出租为经营模式，恩平市恒顺汽车运输有限公司为唯一具备市场化属性且能产生持续现金流的业务主体。公司已建立党委、董事会、经营班子交叉任职的治理架构及4部1办1中心的组织体系，治理与组织框架基本完善，但内部发展存在多重突出短板与困境：公司处于资不抵债、持续亏损状态，偿债与抗风险能力极弱；人力资源层面，员工队伍年龄老化，专业人才储备严重不足，成为发展核心瓶颈；运营管理上，属被动式资产租赁模式，缺乏资产主动盘活能力，各板块协同不足，同时数字化建设处于初级阶段，全流程数字化管理体系尚未建立，无法满足精细化运营需求；此外，公司背负涉及超1600人、欠款超6616万元的历史遗留问题，且存在资产权属瑕疵、化债资金短缺、跨部门协同低效、法律政策壁垒突出等处置困境，大量管理资源消耗于维稳与历史问题处理，严重制约市场化转型与高质量发展，整体内部资源与能力难以匹配“十五五”转型发展需求。</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jc w:val="center"/>
        <w:textAlignment w:val="auto"/>
        <w:rPr>
          <w:rFonts w:hint="default" w:ascii="Times New Roman" w:hAnsi="Times New Roman" w:cs="Times New Roman"/>
          <w:highlight w:val="none"/>
        </w:rPr>
      </w:pPr>
      <w:bookmarkStart w:id="255" w:name="_Toc15558"/>
      <w:bookmarkStart w:id="256" w:name="_Toc1508"/>
      <w:bookmarkStart w:id="257" w:name="_Toc18319"/>
      <w:bookmarkStart w:id="258" w:name="_Toc29787"/>
      <w:bookmarkStart w:id="259" w:name="_Toc6524"/>
      <w:bookmarkStart w:id="260" w:name="_Toc20759"/>
      <w:r>
        <w:rPr>
          <w:rFonts w:hint="eastAsia" w:ascii="Times New Roman" w:hAnsi="Times New Roman" w:eastAsia="黑体" w:cs="Times New Roman"/>
          <w:bCs/>
          <w:kern w:val="44"/>
          <w:sz w:val="32"/>
          <w:szCs w:val="48"/>
          <w:lang w:val="en-US" w:eastAsia="zh-CN" w:bidi="ar-SA"/>
        </w:rPr>
        <w:t xml:space="preserve">第二章 </w:t>
      </w:r>
      <w:r>
        <w:rPr>
          <w:rFonts w:ascii="Times New Roman" w:hAnsi="Times New Roman" w:cs="Times New Roman"/>
          <w:highlight w:val="none"/>
        </w:rPr>
        <w:t>总体发展战略</w:t>
      </w:r>
      <w:bookmarkEnd w:id="255"/>
      <w:bookmarkEnd w:id="256"/>
      <w:bookmarkEnd w:id="257"/>
      <w:bookmarkEnd w:id="258"/>
      <w:bookmarkEnd w:id="259"/>
      <w:bookmarkEnd w:id="260"/>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261" w:name="_Toc9291"/>
      <w:bookmarkStart w:id="262" w:name="_Toc21975"/>
      <w:bookmarkStart w:id="263" w:name="_Toc27853"/>
      <w:bookmarkStart w:id="264" w:name="_Toc2450"/>
      <w:bookmarkStart w:id="265" w:name="_Toc8444"/>
      <w:bookmarkStart w:id="266" w:name="_Toc20983"/>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highlight w:val="none"/>
        </w:rPr>
        <w:t>规划指导思想</w:t>
      </w:r>
      <w:bookmarkEnd w:id="261"/>
      <w:bookmarkEnd w:id="262"/>
      <w:bookmarkEnd w:id="263"/>
      <w:bookmarkEnd w:id="264"/>
      <w:bookmarkEnd w:id="265"/>
      <w:bookmarkEnd w:id="266"/>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以习近平新时代中国特色社会主义思想为指导，全面贯彻党的二十大精神，落实广东省、江门市及恩平市深化国资国企改革、防范化解重大风险的决策部署，坚持</w:t>
      </w:r>
      <w:r>
        <w:rPr>
          <w:rFonts w:hint="eastAsia" w:ascii="Times New Roman" w:hAnsi="Times New Roman" w:cs="Times New Roman"/>
          <w:highlight w:val="none"/>
        </w:rPr>
        <w:t>“</w:t>
      </w:r>
      <w:r>
        <w:rPr>
          <w:rFonts w:ascii="Times New Roman" w:hAnsi="Times New Roman" w:cs="Times New Roman"/>
          <w:highlight w:val="none"/>
        </w:rPr>
        <w:t>稳中求进</w:t>
      </w:r>
      <w:r>
        <w:rPr>
          <w:rFonts w:hint="eastAsia" w:ascii="Times New Roman" w:hAnsi="Times New Roman" w:cs="Times New Roman"/>
          <w:highlight w:val="none"/>
        </w:rPr>
        <w:t>”</w:t>
      </w:r>
      <w:r>
        <w:rPr>
          <w:rFonts w:ascii="Times New Roman" w:hAnsi="Times New Roman" w:cs="Times New Roman"/>
          <w:highlight w:val="none"/>
        </w:rPr>
        <w:t>工作总基调，以化解存量风险、激活存量资源、培育增量动能为核心，聚焦三大战略定位，推动公司从</w:t>
      </w:r>
      <w:r>
        <w:rPr>
          <w:rFonts w:hint="eastAsia" w:ascii="Times New Roman" w:hAnsi="Times New Roman" w:cs="Times New Roman"/>
          <w:highlight w:val="none"/>
        </w:rPr>
        <w:t>“</w:t>
      </w:r>
      <w:r>
        <w:rPr>
          <w:rFonts w:ascii="Times New Roman" w:hAnsi="Times New Roman" w:cs="Times New Roman"/>
          <w:highlight w:val="none"/>
        </w:rPr>
        <w:t>单一历史遗留问题处置平台</w:t>
      </w:r>
      <w:r>
        <w:rPr>
          <w:rFonts w:hint="eastAsia" w:ascii="Times New Roman" w:hAnsi="Times New Roman" w:cs="Times New Roman"/>
          <w:highlight w:val="none"/>
        </w:rPr>
        <w:t>”</w:t>
      </w:r>
      <w:r>
        <w:rPr>
          <w:rFonts w:ascii="Times New Roman" w:hAnsi="Times New Roman" w:cs="Times New Roman"/>
          <w:highlight w:val="none"/>
        </w:rPr>
        <w:t>向</w:t>
      </w:r>
      <w:r>
        <w:rPr>
          <w:rFonts w:hint="eastAsia" w:ascii="Times New Roman" w:hAnsi="Times New Roman" w:cs="Times New Roman"/>
          <w:highlight w:val="none"/>
        </w:rPr>
        <w:t>“</w:t>
      </w:r>
      <w:r>
        <w:rPr>
          <w:rFonts w:ascii="Times New Roman" w:hAnsi="Times New Roman" w:cs="Times New Roman"/>
          <w:highlight w:val="none"/>
        </w:rPr>
        <w:t>多功能、市场化、专业化</w:t>
      </w:r>
      <w:r>
        <w:rPr>
          <w:rFonts w:hint="eastAsia" w:ascii="Times New Roman" w:hAnsi="Times New Roman" w:cs="Times New Roman"/>
          <w:highlight w:val="none"/>
        </w:rPr>
        <w:t>”</w:t>
      </w:r>
      <w:r>
        <w:rPr>
          <w:rFonts w:ascii="Times New Roman" w:hAnsi="Times New Roman" w:cs="Times New Roman"/>
          <w:highlight w:val="none"/>
        </w:rPr>
        <w:t>现代国企转型，实现国有资产保值增值，为恩平市高质量发展提供坚实支撑。</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267" w:name="_Toc25266"/>
      <w:bookmarkStart w:id="268" w:name="_Toc20747"/>
      <w:bookmarkStart w:id="269" w:name="_Toc18027"/>
      <w:bookmarkStart w:id="270" w:name="_Toc26789"/>
      <w:bookmarkStart w:id="271" w:name="_Toc28798"/>
      <w:bookmarkStart w:id="272" w:name="_Toc6048"/>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highlight w:val="none"/>
        </w:rPr>
        <w:t>基本原则</w:t>
      </w:r>
      <w:bookmarkEnd w:id="267"/>
      <w:bookmarkEnd w:id="268"/>
      <w:bookmarkEnd w:id="269"/>
      <w:bookmarkEnd w:id="270"/>
      <w:bookmarkEnd w:id="271"/>
      <w:bookmarkEnd w:id="272"/>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坚持底线思维：严守不引发群体性事件、不造成国有资产流失底线，平稳处置历史遗留问题。</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坚持分类施策：针对不同类型企业与资产，“一企一策”制定差异化方案，提升处置效率。</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坚持聚焦主业：围绕“三大平台”定位集中资源，避免盲目扩张，确保发展不偏离核心轨道。</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坚持市场导向：在保障公共服务与政策性职能基础上，引入市场化机制，增强业务“造血”能力。</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坚持协同发展：加强与政府部门、金融机构及市场主体协作，争取政策与资源支持，形成攻坚合力。</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273" w:name="_Toc18264"/>
      <w:bookmarkStart w:id="274" w:name="_Toc15127"/>
      <w:bookmarkStart w:id="275" w:name="_Toc10622"/>
      <w:bookmarkStart w:id="276" w:name="_Toc9369"/>
      <w:bookmarkStart w:id="277" w:name="_Toc13974"/>
      <w:bookmarkStart w:id="278" w:name="_Toc18482"/>
      <w:r>
        <w:rPr>
          <w:rFonts w:hint="eastAsia" w:ascii="Times New Roman" w:hAnsi="Times New Roman" w:eastAsia="楷体_GB2312" w:cs="Times New Roman"/>
          <w:b/>
          <w:bCs/>
          <w:kern w:val="0"/>
          <w:sz w:val="32"/>
          <w:szCs w:val="36"/>
          <w:lang w:val="en-US" w:eastAsia="zh-CN" w:bidi="ar-SA"/>
          <w14:ligatures w14:val="standardContextual"/>
        </w:rPr>
        <w:t>三、</w:t>
      </w:r>
      <w:r>
        <w:rPr>
          <w:rFonts w:ascii="Times New Roman" w:hAnsi="Times New Roman" w:cs="Times New Roman"/>
          <w:highlight w:val="none"/>
        </w:rPr>
        <w:t>愿景、使命、价值观</w:t>
      </w:r>
      <w:bookmarkEnd w:id="273"/>
      <w:bookmarkEnd w:id="274"/>
      <w:bookmarkEnd w:id="275"/>
      <w:bookmarkEnd w:id="276"/>
      <w:bookmarkEnd w:id="277"/>
      <w:bookmarkEnd w:id="278"/>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愿景：成为恩平市历史遗留问题处置和国有资产高效运营的示范平台</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使命：化解历史包袱，保障公交民生，盘活存量资产，实现国有资本有效管理与价值维护</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价值观：担当、务实、协同、增效</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279" w:name="_Toc5584"/>
      <w:bookmarkStart w:id="280" w:name="_Toc10802"/>
      <w:bookmarkStart w:id="281" w:name="_Toc17841"/>
      <w:bookmarkStart w:id="282" w:name="_Toc27987"/>
      <w:bookmarkStart w:id="283" w:name="_Toc28531"/>
      <w:bookmarkStart w:id="284" w:name="_Toc13751"/>
      <w:r>
        <w:rPr>
          <w:rFonts w:hint="eastAsia" w:ascii="Times New Roman" w:hAnsi="Times New Roman" w:eastAsia="楷体_GB2312" w:cs="Times New Roman"/>
          <w:b/>
          <w:bCs/>
          <w:kern w:val="0"/>
          <w:sz w:val="32"/>
          <w:szCs w:val="36"/>
          <w:lang w:val="en-US" w:eastAsia="zh-CN" w:bidi="ar-SA"/>
          <w14:ligatures w14:val="standardContextual"/>
        </w:rPr>
        <w:t>四、</w:t>
      </w:r>
      <w:r>
        <w:rPr>
          <w:rFonts w:ascii="Times New Roman" w:hAnsi="Times New Roman" w:cs="Times New Roman"/>
          <w:highlight w:val="none"/>
        </w:rPr>
        <w:t>战略定位</w:t>
      </w:r>
      <w:bookmarkEnd w:id="279"/>
      <w:bookmarkEnd w:id="280"/>
      <w:bookmarkEnd w:id="281"/>
      <w:bookmarkEnd w:id="282"/>
      <w:bookmarkEnd w:id="283"/>
      <w:bookmarkEnd w:id="284"/>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立足恩平市发展大局，结合公司自身实际，明确三大核心定位，形成</w:t>
      </w:r>
      <w:r>
        <w:rPr>
          <w:rFonts w:hint="eastAsia" w:ascii="Times New Roman" w:hAnsi="Times New Roman" w:cs="Times New Roman"/>
          <w:highlight w:val="none"/>
        </w:rPr>
        <w:t>“</w:t>
      </w:r>
      <w:r>
        <w:rPr>
          <w:rFonts w:ascii="Times New Roman" w:hAnsi="Times New Roman" w:cs="Times New Roman"/>
          <w:highlight w:val="none"/>
        </w:rPr>
        <w:t>三位一体、协同发展</w:t>
      </w:r>
      <w:r>
        <w:rPr>
          <w:rFonts w:hint="eastAsia" w:ascii="Times New Roman" w:hAnsi="Times New Roman" w:cs="Times New Roman"/>
          <w:highlight w:val="none"/>
        </w:rPr>
        <w:t>”</w:t>
      </w:r>
      <w:r>
        <w:rPr>
          <w:rFonts w:ascii="Times New Roman" w:hAnsi="Times New Roman" w:cs="Times New Roman"/>
          <w:highlight w:val="none"/>
        </w:rPr>
        <w:t>的功能体系：</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历史遗留问题处置平台：作为市属国有“僵尸企业”及历史遗留问题主要执行载体，通过专业化、法治化手段承接托管、清算与职工安置工作，化解历史包袱。</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城市公共交通运营商：以恩平市恒顺汽车运输有限公司为主体，承担市域公交客运服务保障职责，推动公交业务从“保基本”向“优服务”转变，培育可持续增量业务。</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资产盘活运营平台：作为存量资产集约化运营主体，对恩平港等资产开展清查整合与市场化运作，提升资产使用效率与收益，实现国有资产保值增值。</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jc w:val="center"/>
        <w:textAlignment w:val="auto"/>
        <w:rPr>
          <w:rFonts w:hint="default" w:ascii="Times New Roman" w:hAnsi="Times New Roman" w:cs="Times New Roman"/>
          <w:highlight w:val="none"/>
        </w:rPr>
      </w:pPr>
      <w:bookmarkStart w:id="285" w:name="_Toc13087"/>
      <w:bookmarkStart w:id="286" w:name="_Toc32280"/>
      <w:bookmarkStart w:id="287" w:name="_Toc17675"/>
      <w:bookmarkStart w:id="288" w:name="_Toc30862"/>
      <w:bookmarkStart w:id="289" w:name="_Toc15836"/>
      <w:bookmarkStart w:id="290" w:name="_Toc31636"/>
      <w:r>
        <w:rPr>
          <w:rFonts w:hint="eastAsia" w:ascii="Times New Roman" w:hAnsi="Times New Roman" w:eastAsia="黑体" w:cs="Times New Roman"/>
          <w:bCs/>
          <w:kern w:val="44"/>
          <w:sz w:val="32"/>
          <w:szCs w:val="48"/>
          <w:lang w:val="en-US" w:eastAsia="zh-CN" w:bidi="ar-SA"/>
        </w:rPr>
        <w:t xml:space="preserve">第三章 </w:t>
      </w:r>
      <w:r>
        <w:rPr>
          <w:rFonts w:ascii="Times New Roman" w:hAnsi="Times New Roman" w:cs="Times New Roman"/>
          <w:highlight w:val="none"/>
        </w:rPr>
        <w:t>发展目标</w:t>
      </w:r>
      <w:bookmarkEnd w:id="285"/>
      <w:bookmarkEnd w:id="286"/>
      <w:bookmarkEnd w:id="287"/>
      <w:bookmarkEnd w:id="288"/>
      <w:bookmarkEnd w:id="289"/>
      <w:bookmarkEnd w:id="290"/>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291" w:name="_Toc12610"/>
      <w:bookmarkStart w:id="292" w:name="_Toc29271"/>
      <w:bookmarkStart w:id="293" w:name="_Toc25552"/>
      <w:bookmarkStart w:id="294" w:name="_Toc27019"/>
      <w:bookmarkStart w:id="295" w:name="_Toc2870"/>
      <w:bookmarkStart w:id="296" w:name="_Toc21790"/>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highlight w:val="none"/>
        </w:rPr>
        <w:t>总体目标</w:t>
      </w:r>
      <w:bookmarkEnd w:id="291"/>
      <w:bookmarkEnd w:id="292"/>
      <w:bookmarkEnd w:id="293"/>
      <w:bookmarkEnd w:id="294"/>
      <w:bookmarkEnd w:id="295"/>
      <w:bookmarkEnd w:id="296"/>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到2030年，基本完成历史遗留问题与劣势企业处置，实现托管企业“应出清尽出清、应盘活尽盘活”</w:t>
      </w:r>
      <w:r>
        <w:rPr>
          <w:rFonts w:hint="eastAsia" w:ascii="Times New Roman" w:hAnsi="Times New Roman" w:cs="Times New Roman"/>
          <w:highlight w:val="none"/>
          <w:lang w:eastAsia="zh-CN"/>
        </w:rPr>
        <w:t>，</w:t>
      </w:r>
      <w:r>
        <w:rPr>
          <w:rFonts w:hint="eastAsia" w:ascii="Times New Roman" w:hAnsi="Times New Roman" w:cs="Times New Roman"/>
          <w:highlight w:val="none"/>
        </w:rPr>
        <w:t>在册人员数量逐步优化调整，至“十五五”期末减少至180人左右；公交业务提质增效，培育1-2项可持续增量业务；公司自我造血能力显著增强，逐步实现自主平衡发展。</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297" w:name="_Toc6112"/>
      <w:bookmarkStart w:id="298" w:name="_Toc25038"/>
      <w:bookmarkStart w:id="299" w:name="_Toc9245"/>
      <w:bookmarkStart w:id="300" w:name="_Toc20618"/>
      <w:bookmarkStart w:id="301" w:name="_Toc30635"/>
      <w:bookmarkStart w:id="302" w:name="_Toc6241"/>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highlight w:val="none"/>
        </w:rPr>
        <w:t>分阶段目标</w:t>
      </w:r>
      <w:bookmarkEnd w:id="297"/>
      <w:bookmarkEnd w:id="298"/>
      <w:bookmarkEnd w:id="299"/>
      <w:bookmarkEnd w:id="300"/>
      <w:bookmarkEnd w:id="301"/>
      <w:bookmarkEnd w:id="302"/>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转型筑基期（2026—2027年）：</w:t>
      </w:r>
      <w:r>
        <w:rPr>
          <w:rFonts w:hint="eastAsia" w:ascii="Times New Roman" w:hAnsi="Times New Roman" w:cs="Times New Roman"/>
          <w:highlight w:val="none"/>
        </w:rPr>
        <w:t>完成历史遗留问题分类梳理与处置方案制定，启动重点攻坚；优化公交线网，试点定制公交，建立规范补贴机制；完成存量资产清查建档，启动1-2个重点资产盘活项目研究；资产负债率控制在175%以内。</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提质增效期（2028—2029年）：</w:t>
      </w:r>
      <w:r>
        <w:rPr>
          <w:rFonts w:hint="eastAsia" w:ascii="Times New Roman" w:hAnsi="Times New Roman" w:cs="Times New Roman"/>
          <w:highlight w:val="none"/>
        </w:rPr>
        <w:t>完成50%以上“僵尸企业”出清，职工安置矛盾有效化解，信访办结率≥95%；新能源公交占比大幅提升，智能调度系统初步应用，定制公交、客货邮融合形成稳定增收模式；资产盘活机制全面运行，搭建初步数字化管理平台，资产收益贡献度显著提升。</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融合发展期（2030年）：</w:t>
      </w:r>
      <w:r>
        <w:rPr>
          <w:rFonts w:hint="eastAsia" w:ascii="Times New Roman" w:hAnsi="Times New Roman" w:cs="Times New Roman"/>
          <w:highlight w:val="none"/>
        </w:rPr>
        <w:t>历史遗留问题化解率≥80%</w:t>
      </w:r>
      <w:r>
        <w:rPr>
          <w:rFonts w:hint="eastAsia" w:ascii="Times New Roman" w:hAnsi="Times New Roman" w:cs="Times New Roman"/>
          <w:highlight w:val="none"/>
          <w:lang w:eastAsia="zh-CN"/>
        </w:rPr>
        <w:t>，</w:t>
      </w:r>
      <w:r>
        <w:rPr>
          <w:rFonts w:hint="eastAsia" w:ascii="Times New Roman" w:hAnsi="Times New Roman" w:cs="Times New Roman"/>
          <w:highlight w:val="none"/>
        </w:rPr>
        <w:t>在册人员数量压减至180人左右，逐步推进人员档案及党员组织关系社区化管理；公交业务形成“基础服务+特色服务”体系；资产盘活率≥60%，资产负债率控制在165%以内；企业基本实现自主平衡发展，“三大平台”协同效应初步形成。</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jc w:val="center"/>
        <w:textAlignment w:val="auto"/>
        <w:rPr>
          <w:rFonts w:hint="default" w:ascii="Times New Roman" w:hAnsi="Times New Roman" w:cs="Times New Roman"/>
          <w:highlight w:val="none"/>
        </w:rPr>
      </w:pPr>
      <w:bookmarkStart w:id="303" w:name="_Toc2201"/>
      <w:bookmarkStart w:id="304" w:name="_Toc22339"/>
      <w:bookmarkStart w:id="305" w:name="_Toc31212"/>
      <w:bookmarkStart w:id="306" w:name="_Toc2873"/>
      <w:bookmarkStart w:id="307" w:name="_Toc3533"/>
      <w:bookmarkStart w:id="308" w:name="_Toc28706"/>
      <w:r>
        <w:rPr>
          <w:rFonts w:hint="eastAsia" w:ascii="Times New Roman" w:hAnsi="Times New Roman" w:eastAsia="黑体" w:cs="Times New Roman"/>
          <w:bCs/>
          <w:kern w:val="44"/>
          <w:sz w:val="32"/>
          <w:szCs w:val="48"/>
          <w:lang w:val="en-US" w:eastAsia="zh-CN" w:bidi="ar-SA"/>
        </w:rPr>
        <w:t xml:space="preserve">第四章 </w:t>
      </w:r>
      <w:r>
        <w:rPr>
          <w:rFonts w:ascii="Times New Roman" w:hAnsi="Times New Roman" w:cs="Times New Roman"/>
          <w:highlight w:val="none"/>
        </w:rPr>
        <w:t>重大战略举措</w:t>
      </w:r>
      <w:bookmarkEnd w:id="303"/>
      <w:bookmarkEnd w:id="304"/>
      <w:bookmarkEnd w:id="305"/>
      <w:bookmarkEnd w:id="306"/>
      <w:bookmarkEnd w:id="307"/>
      <w:bookmarkEnd w:id="308"/>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309" w:name="_Toc29572"/>
      <w:bookmarkStart w:id="310" w:name="_Toc3229"/>
      <w:bookmarkStart w:id="311" w:name="_Toc5158"/>
      <w:bookmarkStart w:id="312" w:name="_Toc23692"/>
      <w:bookmarkStart w:id="313" w:name="_Toc17090"/>
      <w:bookmarkStart w:id="314" w:name="_Toc3898"/>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highlight w:val="none"/>
        </w:rPr>
        <w:t>攻坚历史遗留问题，打造专业化法治化处置平台</w:t>
      </w:r>
      <w:bookmarkEnd w:id="309"/>
      <w:bookmarkEnd w:id="310"/>
      <w:bookmarkEnd w:id="311"/>
      <w:bookmarkEnd w:id="312"/>
      <w:bookmarkEnd w:id="313"/>
      <w:bookmarkEnd w:id="314"/>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highlight w:val="none"/>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highlight w:val="none"/>
        </w:rPr>
        <w:t>健全处置机制，提升专业能力</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组建由法律、财务、人事、资产等专业人员构成的历史遗留问题处置专班，实现项目化管理</w:t>
      </w:r>
      <w:r>
        <w:rPr>
          <w:rFonts w:hint="eastAsia" w:ascii="Times New Roman" w:hAnsi="Times New Roman" w:cs="Times New Roman"/>
          <w:highlight w:val="none"/>
        </w:rPr>
        <w:t>。</w:t>
      </w:r>
      <w:r>
        <w:rPr>
          <w:rFonts w:ascii="Times New Roman" w:hAnsi="Times New Roman" w:cs="Times New Roman"/>
          <w:highlight w:val="none"/>
        </w:rPr>
        <w:t>制定《历史遗留问题处置工作指引》《职工安置维稳应急预案》</w:t>
      </w:r>
      <w:r>
        <w:rPr>
          <w:rFonts w:hint="eastAsia" w:ascii="Times New Roman" w:hAnsi="Times New Roman" w:cs="Times New Roman"/>
          <w:highlight w:val="none"/>
        </w:rPr>
        <w:t>等制度，</w:t>
      </w:r>
      <w:r>
        <w:rPr>
          <w:rFonts w:ascii="Times New Roman" w:hAnsi="Times New Roman" w:cs="Times New Roman"/>
          <w:highlight w:val="none"/>
        </w:rPr>
        <w:t>规范工作流程</w:t>
      </w:r>
      <w:r>
        <w:rPr>
          <w:rFonts w:hint="eastAsia" w:ascii="Times New Roman" w:hAnsi="Times New Roman" w:cs="Times New Roman"/>
          <w:highlight w:val="none"/>
        </w:rPr>
        <w:t>。</w:t>
      </w:r>
      <w:r>
        <w:rPr>
          <w:rFonts w:ascii="Times New Roman" w:hAnsi="Times New Roman" w:cs="Times New Roman"/>
          <w:highlight w:val="none"/>
        </w:rPr>
        <w:t>加强与法院、人社、税务、自然资源等部门常态化沟通，建立“府院联动”联席会议机制，推动法院对</w:t>
      </w:r>
      <w:r>
        <w:rPr>
          <w:rFonts w:hint="eastAsia" w:ascii="Times New Roman" w:hAnsi="Times New Roman" w:cs="Times New Roman"/>
          <w:highlight w:val="none"/>
        </w:rPr>
        <w:t>“</w:t>
      </w:r>
      <w:r>
        <w:rPr>
          <w:rFonts w:ascii="Times New Roman" w:hAnsi="Times New Roman" w:cs="Times New Roman"/>
          <w:highlight w:val="none"/>
        </w:rPr>
        <w:t>僵尸企业</w:t>
      </w:r>
      <w:r>
        <w:rPr>
          <w:rFonts w:hint="eastAsia" w:ascii="Times New Roman" w:hAnsi="Times New Roman" w:cs="Times New Roman"/>
          <w:highlight w:val="none"/>
        </w:rPr>
        <w:t>”</w:t>
      </w:r>
      <w:r>
        <w:rPr>
          <w:rFonts w:ascii="Times New Roman" w:hAnsi="Times New Roman" w:cs="Times New Roman"/>
          <w:highlight w:val="none"/>
        </w:rPr>
        <w:t>优先立案审理，缩短司法处置周期。</w:t>
      </w:r>
      <w:r>
        <w:rPr>
          <w:rFonts w:hint="eastAsia" w:ascii="Times New Roman" w:hAnsi="Times New Roman" w:cs="Times New Roman"/>
          <w:highlight w:val="none"/>
        </w:rPr>
        <w:t>会同组织、人社部门</w:t>
      </w:r>
      <w:r>
        <w:rPr>
          <w:rFonts w:hint="eastAsia" w:ascii="Times New Roman" w:hAnsi="Times New Roman" w:cs="Times New Roman"/>
          <w:highlight w:val="none"/>
          <w:lang w:val="en-US" w:eastAsia="zh-CN"/>
        </w:rPr>
        <w:t>逐步</w:t>
      </w:r>
      <w:r>
        <w:rPr>
          <w:rFonts w:hint="eastAsia" w:ascii="Times New Roman" w:hAnsi="Times New Roman" w:cs="Times New Roman"/>
          <w:highlight w:val="none"/>
        </w:rPr>
        <w:t>推进解除劳动关系人员档案及党员组织关系向社区移交，实现社会化、属地化管理，进一步压缩在册人员数量。</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highlight w:val="none"/>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highlight w:val="none"/>
        </w:rPr>
        <w:t>实施分类处置，加快盘活出清</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破产清算类：对274家</w:t>
      </w:r>
      <w:r>
        <w:rPr>
          <w:rFonts w:hint="eastAsia" w:ascii="Times New Roman" w:hAnsi="Times New Roman" w:cs="Times New Roman"/>
          <w:highlight w:val="none"/>
        </w:rPr>
        <w:t>“</w:t>
      </w:r>
      <w:r>
        <w:rPr>
          <w:rFonts w:ascii="Times New Roman" w:hAnsi="Times New Roman" w:cs="Times New Roman"/>
          <w:highlight w:val="none"/>
        </w:rPr>
        <w:t>三无企业</w:t>
      </w:r>
      <w:r>
        <w:rPr>
          <w:rFonts w:hint="eastAsia" w:ascii="Times New Roman" w:hAnsi="Times New Roman" w:cs="Times New Roman"/>
          <w:highlight w:val="none"/>
        </w:rPr>
        <w:t>”</w:t>
      </w:r>
      <w:r>
        <w:rPr>
          <w:rFonts w:hint="eastAsia" w:ascii="Times New Roman" w:hAnsi="Times New Roman" w:cs="Times New Roman"/>
          <w:highlight w:val="none"/>
          <w:lang w:eastAsia="zh-CN"/>
        </w:rPr>
        <w:t>（无实缴资本、无经营场所、无从业人员的空壳企业）</w:t>
      </w:r>
      <w:r>
        <w:rPr>
          <w:rFonts w:ascii="Times New Roman" w:hAnsi="Times New Roman" w:cs="Times New Roman"/>
          <w:highlight w:val="none"/>
        </w:rPr>
        <w:t>以司法程序推进市场出清，2026年筛选2-3家债务清晰、低风险企业开展破产清算试点，后续逐步推开；探索</w:t>
      </w:r>
      <w:r>
        <w:rPr>
          <w:rFonts w:hint="eastAsia" w:ascii="Times New Roman" w:hAnsi="Times New Roman" w:cs="Times New Roman"/>
          <w:highlight w:val="none"/>
        </w:rPr>
        <w:t>“</w:t>
      </w:r>
      <w:r>
        <w:rPr>
          <w:rFonts w:ascii="Times New Roman" w:hAnsi="Times New Roman" w:cs="Times New Roman"/>
          <w:highlight w:val="none"/>
        </w:rPr>
        <w:t>批量清算绿色通道</w:t>
      </w:r>
      <w:r>
        <w:rPr>
          <w:rFonts w:hint="eastAsia" w:ascii="Times New Roman" w:hAnsi="Times New Roman" w:cs="Times New Roman"/>
          <w:highlight w:val="none"/>
        </w:rPr>
        <w:t>”</w:t>
      </w:r>
      <w:r>
        <w:rPr>
          <w:rFonts w:ascii="Times New Roman" w:hAnsi="Times New Roman" w:cs="Times New Roman"/>
          <w:highlight w:val="none"/>
        </w:rPr>
        <w:t>，联合法院、律师事务所集中办理以降低单家处置成本，争取省级财政专项补贴设立出清专项资金，清算前全面梳理职工纠纷并制定维稳预案。</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重组整合类：深化内部资源整合，将各板块闲置物业归集至诚睿公司统一运营，零星运输资源整合至恒顺公司支撑公交业务发展；针对抵押、查封资产，由企管部联合财审部梳理权属，推动同区域资产置换或债务重组。定期对在册人员动态跟踪，对满足条件的应减尽减、应转尽转，持续优化人员结构，为国资国企轻装上阵奠定基础。</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转型发展类：对具备运营潜力的企业及资产，以激活存量价值为核心探索转型；恩平港引入物流合作方，开展建材、农产品中转业务，打造服务本地制造企业的特色港口；恒顺公司对接夜市经济、文旅产业，开通</w:t>
      </w:r>
      <w:r>
        <w:rPr>
          <w:rFonts w:hint="eastAsia" w:ascii="Times New Roman" w:hAnsi="Times New Roman" w:cs="Times New Roman"/>
          <w:highlight w:val="none"/>
        </w:rPr>
        <w:t>“</w:t>
      </w:r>
      <w:r>
        <w:rPr>
          <w:rFonts w:ascii="Times New Roman" w:hAnsi="Times New Roman" w:cs="Times New Roman"/>
          <w:highlight w:val="none"/>
        </w:rPr>
        <w:t>夜市专线</w:t>
      </w:r>
      <w:r>
        <w:rPr>
          <w:rFonts w:hint="eastAsia" w:ascii="Times New Roman" w:hAnsi="Times New Roman" w:cs="Times New Roman"/>
          <w:highlight w:val="none"/>
        </w:rPr>
        <w:t>”“</w:t>
      </w:r>
      <w:r>
        <w:rPr>
          <w:rFonts w:ascii="Times New Roman" w:hAnsi="Times New Roman" w:cs="Times New Roman"/>
          <w:highlight w:val="none"/>
        </w:rPr>
        <w:t>景区专线</w:t>
      </w:r>
      <w:r>
        <w:rPr>
          <w:rFonts w:hint="eastAsia" w:ascii="Times New Roman" w:hAnsi="Times New Roman" w:cs="Times New Roman"/>
          <w:highlight w:val="none"/>
        </w:rPr>
        <w:t>”</w:t>
      </w:r>
      <w:r>
        <w:rPr>
          <w:rFonts w:ascii="Times New Roman" w:hAnsi="Times New Roman" w:cs="Times New Roman"/>
          <w:highlight w:val="none"/>
        </w:rPr>
        <w:t>；闲置厂房引入专业团队，打造</w:t>
      </w:r>
      <w:r>
        <w:rPr>
          <w:rFonts w:hint="eastAsia" w:ascii="Times New Roman" w:hAnsi="Times New Roman" w:cs="Times New Roman"/>
          <w:highlight w:val="none"/>
        </w:rPr>
        <w:t>“</w:t>
      </w:r>
      <w:r>
        <w:rPr>
          <w:rFonts w:ascii="Times New Roman" w:hAnsi="Times New Roman" w:cs="Times New Roman"/>
          <w:highlight w:val="none"/>
        </w:rPr>
        <w:t>厂房租赁</w:t>
      </w:r>
      <w:r>
        <w:rPr>
          <w:rFonts w:hint="eastAsia" w:ascii="Times New Roman" w:hAnsi="Times New Roman" w:cs="Times New Roman"/>
          <w:highlight w:val="none"/>
        </w:rPr>
        <w:t>+</w:t>
      </w:r>
      <w:r>
        <w:rPr>
          <w:rFonts w:ascii="Times New Roman" w:hAnsi="Times New Roman" w:cs="Times New Roman"/>
          <w:highlight w:val="none"/>
        </w:rPr>
        <w:t>产业服务</w:t>
      </w:r>
      <w:r>
        <w:rPr>
          <w:rFonts w:hint="eastAsia" w:ascii="Times New Roman" w:hAnsi="Times New Roman" w:cs="Times New Roman"/>
          <w:highlight w:val="none"/>
        </w:rPr>
        <w:t>”</w:t>
      </w:r>
      <w:r>
        <w:rPr>
          <w:rFonts w:ascii="Times New Roman" w:hAnsi="Times New Roman" w:cs="Times New Roman"/>
          <w:highlight w:val="none"/>
        </w:rPr>
        <w:t>、文创园区等项目；农村客运联合邮政、京东等企业开展</w:t>
      </w:r>
      <w:r>
        <w:rPr>
          <w:rFonts w:hint="eastAsia" w:ascii="Times New Roman" w:hAnsi="Times New Roman" w:cs="Times New Roman"/>
          <w:highlight w:val="none"/>
        </w:rPr>
        <w:t>“</w:t>
      </w:r>
      <w:r>
        <w:rPr>
          <w:rFonts w:ascii="Times New Roman" w:hAnsi="Times New Roman" w:cs="Times New Roman"/>
          <w:highlight w:val="none"/>
        </w:rPr>
        <w:t>客货邮</w:t>
      </w:r>
      <w:r>
        <w:rPr>
          <w:rFonts w:hint="eastAsia" w:ascii="Times New Roman" w:hAnsi="Times New Roman" w:cs="Times New Roman"/>
          <w:highlight w:val="none"/>
        </w:rPr>
        <w:t>”</w:t>
      </w:r>
      <w:r>
        <w:rPr>
          <w:rFonts w:ascii="Times New Roman" w:hAnsi="Times New Roman" w:cs="Times New Roman"/>
          <w:highlight w:val="none"/>
        </w:rPr>
        <w:t>融合业务，争取政策补贴覆盖部分运营成本。</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highlight w:val="none"/>
        </w:rPr>
      </w:pPr>
      <w:r>
        <w:rPr>
          <w:rFonts w:hint="eastAsia" w:ascii="Times New Roman" w:hAnsi="Times New Roman" w:eastAsia="仿宋_GB2312" w:cs="Times New Roman"/>
          <w:b/>
          <w:bCs/>
          <w:kern w:val="0"/>
          <w:sz w:val="32"/>
          <w:szCs w:val="27"/>
          <w:lang w:val="en-US" w:eastAsia="zh-CN" w:bidi="ar-SA"/>
        </w:rPr>
        <w:t>3．</w:t>
      </w:r>
      <w:r>
        <w:rPr>
          <w:rFonts w:ascii="Times New Roman" w:hAnsi="Times New Roman" w:cs="Times New Roman"/>
          <w:highlight w:val="none"/>
        </w:rPr>
        <w:t>稳妥安置职工，维护社会稳定</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依法足额支付经济补偿金，做好社保关系接续；与市人社局、本地企业建立就业信息共享机制，每年举办至少1场专场招聘会；联合人社局开展家政、物业维修等技能培训，提升下岗职工再就业能力；建立职工诉求响应机制，对重点人员实行</w:t>
      </w:r>
      <w:r>
        <w:rPr>
          <w:rFonts w:hint="eastAsia" w:ascii="Times New Roman" w:hAnsi="Times New Roman" w:cs="Times New Roman"/>
          <w:highlight w:val="none"/>
        </w:rPr>
        <w:t>“</w:t>
      </w:r>
      <w:r>
        <w:rPr>
          <w:rFonts w:ascii="Times New Roman" w:hAnsi="Times New Roman" w:cs="Times New Roman"/>
          <w:highlight w:val="none"/>
        </w:rPr>
        <w:t>一对一</w:t>
      </w:r>
      <w:r>
        <w:rPr>
          <w:rFonts w:hint="eastAsia" w:ascii="Times New Roman" w:hAnsi="Times New Roman" w:cs="Times New Roman"/>
          <w:highlight w:val="none"/>
        </w:rPr>
        <w:t>”</w:t>
      </w:r>
      <w:r>
        <w:rPr>
          <w:rFonts w:ascii="Times New Roman" w:hAnsi="Times New Roman" w:cs="Times New Roman"/>
          <w:highlight w:val="none"/>
        </w:rPr>
        <w:t>关怀，将矛盾化解在基层。</w:t>
      </w:r>
      <w:r>
        <w:rPr>
          <w:rFonts w:hint="eastAsia" w:ascii="Times New Roman" w:hAnsi="Times New Roman" w:cs="Times New Roman"/>
          <w:highlight w:val="none"/>
        </w:rPr>
        <w:t>对已解除劳动关系的人员，同步完成人事档案移交和党员组织关系社区化管理，确保“减员”与“移交”双到位。职工安置方案依法提交职工代表大会审议。</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highlight w:val="none"/>
        </w:rPr>
      </w:pPr>
      <w:r>
        <w:rPr>
          <w:rFonts w:hint="eastAsia" w:ascii="Times New Roman" w:hAnsi="Times New Roman" w:eastAsia="仿宋_GB2312" w:cs="Times New Roman"/>
          <w:b/>
          <w:bCs/>
          <w:kern w:val="0"/>
          <w:sz w:val="32"/>
          <w:szCs w:val="27"/>
          <w:lang w:val="en-US" w:eastAsia="zh-CN" w:bidi="ar-SA"/>
        </w:rPr>
        <w:t>4．</w:t>
      </w:r>
      <w:r>
        <w:rPr>
          <w:rFonts w:ascii="Times New Roman" w:hAnsi="Times New Roman" w:cs="Times New Roman"/>
          <w:highlight w:val="none"/>
        </w:rPr>
        <w:t>完善内部联动，形成管理闭环</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建立企管部、信访维稳中心、财审部三角协同机制，每月召开联席会，实现</w:t>
      </w:r>
      <w:r>
        <w:rPr>
          <w:rFonts w:hint="eastAsia" w:ascii="Times New Roman" w:hAnsi="Times New Roman" w:cs="Times New Roman"/>
          <w:highlight w:val="none"/>
        </w:rPr>
        <w:t>“</w:t>
      </w:r>
      <w:r>
        <w:rPr>
          <w:rFonts w:ascii="Times New Roman" w:hAnsi="Times New Roman" w:cs="Times New Roman"/>
          <w:highlight w:val="none"/>
        </w:rPr>
        <w:t>处置-维稳-资金</w:t>
      </w:r>
      <w:r>
        <w:rPr>
          <w:rFonts w:hint="eastAsia" w:ascii="Times New Roman" w:hAnsi="Times New Roman" w:cs="Times New Roman"/>
          <w:highlight w:val="none"/>
        </w:rPr>
        <w:t>”</w:t>
      </w:r>
      <w:r>
        <w:rPr>
          <w:rFonts w:ascii="Times New Roman" w:hAnsi="Times New Roman" w:cs="Times New Roman"/>
          <w:highlight w:val="none"/>
        </w:rPr>
        <w:t>的高效联动，确保各项工作落地见效。</w:t>
      </w:r>
      <w:r>
        <w:rPr>
          <w:rFonts w:hint="eastAsia" w:ascii="Times New Roman" w:hAnsi="Times New Roman" w:cs="Times New Roman"/>
          <w:highlight w:val="none"/>
        </w:rPr>
        <w:t>定期对在册人员动态跟踪，对满足条件的应减尽减、应转尽转，持续优化人员结构，为国资国企轻装上阵奠定基础。</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315" w:name="_Toc26893"/>
      <w:bookmarkStart w:id="316" w:name="_Toc25169"/>
      <w:bookmarkStart w:id="317" w:name="_Toc11596"/>
      <w:bookmarkStart w:id="318" w:name="_Toc14969"/>
      <w:bookmarkStart w:id="319" w:name="_Toc15881"/>
      <w:bookmarkStart w:id="320" w:name="_Toc26940"/>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highlight w:val="none"/>
        </w:rPr>
        <w:t>推动公交业务提质增效，打造人民满意的城市公共交通运营商</w:t>
      </w:r>
      <w:bookmarkEnd w:id="315"/>
      <w:bookmarkEnd w:id="316"/>
      <w:bookmarkEnd w:id="317"/>
      <w:bookmarkEnd w:id="318"/>
      <w:bookmarkEnd w:id="319"/>
      <w:bookmarkEnd w:id="320"/>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highlight w:val="none"/>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highlight w:val="none"/>
        </w:rPr>
        <w:t>稳固优化基础盘，推动公交服务提质与机制创新</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推进票价机制改革：优化现行单一票制，研究实施按里程或区域的分段收费制度，兼顾票价合理性与公平性，增加票款收入；同步完善老年人、学生等群体优惠乘车政策，推动建立政策性亏损补贴及时、足额补偿机制，保障企业基本现金流。</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拓展多元化定制服务：紧扣市区学校、夜市经济、文旅项目及产业园区需求，重点推进校园定制专线建设，对接市内学校，解决学生上下学出行问题并缓解校园周边交通压力；同步拓展企业通勤、大型活动、景区接驳等定制公交线路，推进全市公交一体化布局，优化乡镇线路网络。</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提升运营效率与管理水平：建立公交全生命周期成本核算体系，优先推广新能源公交车；引入AI智能调度系统，动态调整线路与班次，减少车辆空驶和冗余运力；争取政策与土地支持，在关键场站、乡镇节点布局建设大功率充电设施及大型车辆停车场地，为车辆电动化更新和运营调度提供硬件支撑。</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highlight w:val="none"/>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highlight w:val="none"/>
        </w:rPr>
        <w:t>培育增量业务，拓展多元化经营</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重启并培育出租车业务：结合恩平市出租车市场五年服务空白、高铁站开通及文旅发展的市场需求，审慎论证后适时重启出租车运营，以公车公营、合作经营等创新模式小规模试点，力争实现板块收支平衡并盈利；联动农文旅业务板块，在出租车内推广恩平文旅宣传资料，推出“出租车+景区门票”套餐服务，实现“客运+文旅”协同增收，完善城市出行服务体系。</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发展农村“客货邮”融合业务：借鉴先进地区经验，与邮政、京东、顺丰等物流企业合作，依托公交客运网络及闲置运力，开展“客运班车捎带邮件快递”服务，实现客货同网、资源共享；在服务乡村振兴的同时争取政策性补贴，提升车辆使用效率和经营收益。</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拓展市场化包车与增值服务：依托现有车辆及运营资质，开拓研学旅行、企事业单位团体包车、会务接待、旅游直通车等市场化业务，建立灵活定价与营销机制，提升车辆非高峰时段利用率；在保障安全运营的前提下，依法拓展站台、车身、车厢内广告业务，利用自有场站资源面向社会开放充电、维修、保洁等服务，将存量资产转化为持续现金流。</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highlight w:val="none"/>
        </w:rPr>
      </w:pPr>
      <w:r>
        <w:rPr>
          <w:rFonts w:hint="eastAsia" w:ascii="Times New Roman" w:hAnsi="Times New Roman" w:eastAsia="仿宋_GB2312" w:cs="Times New Roman"/>
          <w:b/>
          <w:bCs/>
          <w:kern w:val="0"/>
          <w:sz w:val="32"/>
          <w:szCs w:val="27"/>
          <w:lang w:val="en-US" w:eastAsia="zh-CN" w:bidi="ar-SA"/>
        </w:rPr>
        <w:t>3．</w:t>
      </w:r>
      <w:r>
        <w:rPr>
          <w:rFonts w:ascii="Times New Roman" w:hAnsi="Times New Roman" w:cs="Times New Roman"/>
          <w:highlight w:val="none"/>
        </w:rPr>
        <w:t>强化资源整合协同，夯实可持续发展基础</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推动</w:t>
      </w:r>
      <w:r>
        <w:rPr>
          <w:rFonts w:hint="eastAsia" w:ascii="Times New Roman" w:hAnsi="Times New Roman" w:cs="Times New Roman"/>
          <w:highlight w:val="none"/>
        </w:rPr>
        <w:t>恩平市恒安汽车服务有限公司、恩平市恩骏机动车驾驶员培训有限公司划入公有公司</w:t>
      </w:r>
      <w:r>
        <w:rPr>
          <w:rFonts w:ascii="Times New Roman" w:hAnsi="Times New Roman" w:cs="Times New Roman"/>
          <w:highlight w:val="none"/>
        </w:rPr>
        <w:t>，与恒顺</w:t>
      </w:r>
      <w:r>
        <w:rPr>
          <w:rFonts w:hint="eastAsia" w:ascii="Times New Roman" w:hAnsi="Times New Roman" w:cs="Times New Roman"/>
          <w:highlight w:val="none"/>
        </w:rPr>
        <w:t>公司形成一体化协同发展生态，增强企业内生动力和成本控制能力</w:t>
      </w:r>
      <w:r>
        <w:rPr>
          <w:rFonts w:ascii="Times New Roman" w:hAnsi="Times New Roman" w:cs="Times New Roman"/>
          <w:highlight w:val="none"/>
        </w:rPr>
        <w:t>；探索与江门文旅交通集团等区域国企的业务协同，优化线路资源，避免同质化竞争，共同做大区域客运市场。</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321" w:name="_Toc14844"/>
      <w:bookmarkStart w:id="322" w:name="_Toc22243"/>
      <w:bookmarkStart w:id="323" w:name="_Toc5420"/>
      <w:bookmarkStart w:id="324" w:name="_Toc14972"/>
      <w:bookmarkStart w:id="325" w:name="_Toc507"/>
      <w:bookmarkStart w:id="326" w:name="_Toc7003"/>
      <w:r>
        <w:rPr>
          <w:rFonts w:hint="eastAsia" w:ascii="Times New Roman" w:hAnsi="Times New Roman" w:eastAsia="楷体_GB2312" w:cs="Times New Roman"/>
          <w:b/>
          <w:bCs/>
          <w:kern w:val="0"/>
          <w:sz w:val="32"/>
          <w:szCs w:val="36"/>
          <w:lang w:val="en-US" w:eastAsia="zh-CN" w:bidi="ar-SA"/>
          <w14:ligatures w14:val="standardContextual"/>
        </w:rPr>
        <w:t>三、</w:t>
      </w:r>
      <w:r>
        <w:rPr>
          <w:rFonts w:ascii="Times New Roman" w:hAnsi="Times New Roman" w:cs="Times New Roman"/>
          <w:highlight w:val="none"/>
        </w:rPr>
        <w:t>强化市场化运营，打造高效增值的资产盘活运营平台</w:t>
      </w:r>
      <w:bookmarkEnd w:id="321"/>
      <w:bookmarkEnd w:id="322"/>
      <w:bookmarkEnd w:id="323"/>
      <w:bookmarkEnd w:id="324"/>
      <w:bookmarkEnd w:id="325"/>
      <w:bookmarkEnd w:id="326"/>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highlight w:val="none"/>
        </w:rPr>
      </w:pPr>
      <w:r>
        <w:rPr>
          <w:rFonts w:hint="eastAsia" w:ascii="Times New Roman" w:hAnsi="Times New Roman" w:eastAsia="仿宋_GB2312" w:cs="Times New Roman"/>
          <w:b/>
          <w:bCs/>
          <w:kern w:val="0"/>
          <w:sz w:val="32"/>
          <w:szCs w:val="27"/>
          <w:lang w:val="en-US" w:eastAsia="zh-CN" w:bidi="ar-SA"/>
        </w:rPr>
        <w:t>1．</w:t>
      </w:r>
      <w:r>
        <w:rPr>
          <w:rFonts w:ascii="Times New Roman" w:hAnsi="Times New Roman" w:cs="Times New Roman"/>
          <w:highlight w:val="none"/>
        </w:rPr>
        <w:t>完成资产清查与数字化建档</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组建企管部、财审部及第三方机构联合清查组，对公司授权接收及自有闲置厂房、土地、资质等全量资产开展盘点，重点核实质权、物理状态等信息，按可直接盘活、需确权后盘活、无盘活价值分类，建立含位置、产权、潜在价值等要素的全维度资产台账。搭建国有资产管理信息系统与存量资产数字化平台，整合清查数据，替代手工统计，实现资产查询、审批、收益监控全流程线上化，动态监控资产状态、合同及收益情况，为运营决策提供数字化支撑。</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highlight w:val="none"/>
        </w:rPr>
      </w:pPr>
      <w:r>
        <w:rPr>
          <w:rFonts w:hint="eastAsia" w:ascii="Times New Roman" w:hAnsi="Times New Roman" w:eastAsia="仿宋_GB2312" w:cs="Times New Roman"/>
          <w:b/>
          <w:bCs/>
          <w:kern w:val="0"/>
          <w:sz w:val="32"/>
          <w:szCs w:val="27"/>
          <w:lang w:val="en-US" w:eastAsia="zh-CN" w:bidi="ar-SA"/>
        </w:rPr>
        <w:t>2．</w:t>
      </w:r>
      <w:r>
        <w:rPr>
          <w:rFonts w:ascii="Times New Roman" w:hAnsi="Times New Roman" w:cs="Times New Roman"/>
          <w:highlight w:val="none"/>
        </w:rPr>
        <w:t>实施分类精准盘活策略</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恩平港等特殊战略性资产盘活：统筹推进恩平港升级改造，推动港务总公司码头改造项目落地开工，破解项目推进难题。结合全市规划重新明确恩平港功能定位，面向物流、航运企业专项招商，通过租赁、委托经营、合资等模式引入专业团队，重启运营并带动后方仓储物流发展。探索“港口+工业旅游+滨水休闲”模式，提升资产综合效益。依托恩平港直出试点、直航港澳的优势，融入大湾区西翼物流网络，加强与核心港口合作加密航线；畅通集疏运通道，打造服务本地、对接湾区的物流门户。</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闲置土地与低效物业盘活：实施短中长期差异化盘活：短期对权属清晰、区位优越且无自主运营计划的资产，通过公开招租、产权挂牌租赁或转让，快速回笼资金；中期对有改造潜力的旧厂房、楼宇，开展修缮改造或委托专业机构运营，提升租金收益；长期对优质大宗地块，以作价入股、联合开发模式引入社会资本与专业开发商，共享长期增值收益。</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零散及难独立运营资产盘活：地域相邻、业态相关的零散资产，开展物理或权属整合，打造规模化资产包，通过统一策划、市场化整体运作，实现零散资产价值最大化。</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highlight w:val="none"/>
        </w:rPr>
      </w:pPr>
      <w:r>
        <w:rPr>
          <w:rFonts w:hint="eastAsia" w:ascii="Times New Roman" w:hAnsi="Times New Roman" w:eastAsia="仿宋_GB2312" w:cs="Times New Roman"/>
          <w:b/>
          <w:bCs/>
          <w:kern w:val="0"/>
          <w:sz w:val="32"/>
          <w:szCs w:val="27"/>
          <w:lang w:val="en-US" w:eastAsia="zh-CN" w:bidi="ar-SA"/>
        </w:rPr>
        <w:t>3．</w:t>
      </w:r>
      <w:r>
        <w:rPr>
          <w:rFonts w:ascii="Times New Roman" w:hAnsi="Times New Roman" w:cs="Times New Roman"/>
          <w:highlight w:val="none"/>
        </w:rPr>
        <w:t>创新运营机制，提升专业化水平</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做强诚睿物业公司核心资产运营平台定位，集中专业团队，统一负责经营性资产的招商、租户管理、物业服务及维护改造，实现资产运营集约化、专业化。针对有资产价值但资金缺口大的项目，推行社会合作模式，公司以土地、厂房等入股，引入专业民企承担改造资金与运营维护，公司统筹政策支持、把控运营方向，实现政企优势互补。</w:t>
      </w:r>
    </w:p>
    <w:p>
      <w:pPr>
        <w:pStyle w:val="4"/>
        <w:keepNext w:val="0"/>
        <w:keepLines w:val="0"/>
        <w:pageBreakBefore w:val="0"/>
        <w:widowControl w:val="0"/>
        <w:numPr>
          <w:ilvl w:val="2"/>
          <w:numId w:val="0"/>
        </w:numPr>
        <w:kinsoku/>
        <w:wordWrap/>
        <w:overflowPunct/>
        <w:topLinePunct w:val="0"/>
        <w:autoSpaceDE/>
        <w:autoSpaceDN/>
        <w:bidi w:val="0"/>
        <w:adjustRightInd/>
        <w:snapToGrid/>
        <w:spacing w:beforeAutospacing="0" w:afterAutospacing="0"/>
        <w:ind w:left="0" w:leftChars="0" w:firstLine="643" w:firstLineChars="200"/>
        <w:textAlignment w:val="auto"/>
        <w:rPr>
          <w:rFonts w:hint="default" w:ascii="Times New Roman" w:hAnsi="Times New Roman" w:cs="Times New Roman"/>
          <w:highlight w:val="none"/>
        </w:rPr>
      </w:pPr>
      <w:r>
        <w:rPr>
          <w:rFonts w:hint="eastAsia" w:ascii="Times New Roman" w:hAnsi="Times New Roman" w:eastAsia="仿宋_GB2312" w:cs="Times New Roman"/>
          <w:b/>
          <w:bCs/>
          <w:kern w:val="0"/>
          <w:sz w:val="32"/>
          <w:szCs w:val="27"/>
          <w:lang w:val="en-US" w:eastAsia="zh-CN" w:bidi="ar-SA"/>
        </w:rPr>
        <w:t>4．</w:t>
      </w:r>
      <w:r>
        <w:rPr>
          <w:rFonts w:ascii="Times New Roman" w:hAnsi="Times New Roman" w:cs="Times New Roman"/>
          <w:highlight w:val="none"/>
        </w:rPr>
        <w:t>强化风险防控，保障合规运营</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严格执行法律尽职调查，确保资产处置、合作运营程序合规、权属无争议。建立租户信用评估体系，规范合同管理、强化租金催收，保障资产收益稳定。对重大合作项目建立全过程风险监控机制，实现事前研判、事中管控、事后评估。落实资产安全巡查责任制，由诚睿公司每季度开展全面巡查，制定科学维护计划，及时排查隐患，确保国有资产保值。</w:t>
      </w:r>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480" w:firstLineChars="200"/>
        <w:textAlignment w:val="auto"/>
        <w:rPr>
          <w:rFonts w:ascii="Times New Roman" w:hAnsi="Times New Roman" w:cs="Times New Roman"/>
          <w:color w:val="000000"/>
          <w:sz w:val="24"/>
          <w:highlight w:val="none"/>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jc w:val="center"/>
        <w:textAlignment w:val="auto"/>
        <w:rPr>
          <w:rFonts w:hint="eastAsia" w:ascii="Times New Roman" w:hAnsi="Times New Roman" w:eastAsia="黑体" w:cs="Times New Roman"/>
          <w:bCs/>
          <w:kern w:val="44"/>
          <w:sz w:val="32"/>
          <w:szCs w:val="48"/>
          <w:lang w:val="en-US" w:eastAsia="zh-CN" w:bidi="ar-SA"/>
        </w:rPr>
      </w:pPr>
      <w:bookmarkStart w:id="327" w:name="_Toc12482"/>
      <w:bookmarkStart w:id="328" w:name="_Toc13686"/>
      <w:bookmarkStart w:id="329" w:name="_Toc1014"/>
      <w:bookmarkStart w:id="330" w:name="_Toc21760"/>
      <w:bookmarkStart w:id="331" w:name="_Toc18135"/>
      <w:bookmarkStart w:id="332" w:name="_Toc24152"/>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jc w:val="center"/>
        <w:textAlignment w:val="auto"/>
        <w:rPr>
          <w:rFonts w:hint="default" w:ascii="Times New Roman" w:hAnsi="Times New Roman" w:cs="Times New Roman"/>
          <w:highlight w:val="none"/>
        </w:rPr>
      </w:pPr>
      <w:r>
        <w:rPr>
          <w:rFonts w:hint="eastAsia" w:ascii="Times New Roman" w:hAnsi="Times New Roman" w:eastAsia="黑体" w:cs="Times New Roman"/>
          <w:bCs/>
          <w:kern w:val="44"/>
          <w:sz w:val="32"/>
          <w:szCs w:val="48"/>
          <w:lang w:val="en-US" w:eastAsia="zh-CN" w:bidi="ar-SA"/>
        </w:rPr>
        <w:t xml:space="preserve">第五章 </w:t>
      </w:r>
      <w:r>
        <w:rPr>
          <w:rFonts w:ascii="Times New Roman" w:hAnsi="Times New Roman" w:cs="Times New Roman"/>
          <w:highlight w:val="none"/>
        </w:rPr>
        <w:t>战略保障措施</w:t>
      </w:r>
      <w:bookmarkEnd w:id="327"/>
      <w:bookmarkEnd w:id="328"/>
      <w:bookmarkEnd w:id="329"/>
      <w:bookmarkEnd w:id="330"/>
      <w:bookmarkEnd w:id="331"/>
      <w:bookmarkEnd w:id="332"/>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333" w:name="_Toc19353"/>
      <w:bookmarkStart w:id="334" w:name="_Toc11703"/>
      <w:bookmarkStart w:id="335" w:name="_Toc8345"/>
      <w:bookmarkStart w:id="336" w:name="_Toc8733"/>
      <w:bookmarkStart w:id="337" w:name="_Toc11002"/>
      <w:bookmarkStart w:id="338" w:name="_Toc10329"/>
      <w:r>
        <w:rPr>
          <w:rFonts w:hint="eastAsia" w:ascii="Times New Roman" w:hAnsi="Times New Roman" w:eastAsia="楷体_GB2312" w:cs="Times New Roman"/>
          <w:b/>
          <w:bCs/>
          <w:kern w:val="0"/>
          <w:sz w:val="32"/>
          <w:szCs w:val="36"/>
          <w:lang w:val="en-US" w:eastAsia="zh-CN" w:bidi="ar-SA"/>
          <w14:ligatures w14:val="standardContextual"/>
        </w:rPr>
        <w:t>一、</w:t>
      </w:r>
      <w:r>
        <w:rPr>
          <w:rFonts w:ascii="Times New Roman" w:hAnsi="Times New Roman" w:cs="Times New Roman"/>
          <w:highlight w:val="none"/>
        </w:rPr>
        <w:t>党建保障：强化政治引领，凝聚发展合力</w:t>
      </w:r>
      <w:bookmarkEnd w:id="333"/>
      <w:bookmarkEnd w:id="334"/>
      <w:bookmarkEnd w:id="335"/>
      <w:bookmarkEnd w:id="336"/>
      <w:bookmarkEnd w:id="337"/>
      <w:bookmarkEnd w:id="338"/>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强化政治引领，落实党委前置研究重大事项机制；推动党建与经营深度融合，将党建优势转化为攻坚动力；加强廉洁风险防控，紧盯重点领域与关键岗位，营造风清气正的政治生态。</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339" w:name="_Toc27722"/>
      <w:bookmarkStart w:id="340" w:name="_Toc653"/>
      <w:bookmarkStart w:id="341" w:name="_Toc16369"/>
      <w:bookmarkStart w:id="342" w:name="_Toc9287"/>
      <w:bookmarkStart w:id="343" w:name="_Toc8075"/>
      <w:bookmarkStart w:id="344" w:name="_Toc3325"/>
      <w:r>
        <w:rPr>
          <w:rFonts w:hint="eastAsia" w:ascii="Times New Roman" w:hAnsi="Times New Roman" w:eastAsia="楷体_GB2312" w:cs="Times New Roman"/>
          <w:b/>
          <w:bCs/>
          <w:kern w:val="0"/>
          <w:sz w:val="32"/>
          <w:szCs w:val="36"/>
          <w:lang w:val="en-US" w:eastAsia="zh-CN" w:bidi="ar-SA"/>
          <w14:ligatures w14:val="standardContextual"/>
        </w:rPr>
        <w:t>二、</w:t>
      </w:r>
      <w:r>
        <w:rPr>
          <w:rFonts w:ascii="Times New Roman" w:hAnsi="Times New Roman" w:cs="Times New Roman"/>
          <w:highlight w:val="none"/>
        </w:rPr>
        <w:t>组织保障：优化治理架构，提升运营效能</w:t>
      </w:r>
      <w:bookmarkEnd w:id="339"/>
      <w:bookmarkEnd w:id="340"/>
      <w:bookmarkEnd w:id="341"/>
      <w:bookmarkEnd w:id="342"/>
      <w:bookmarkEnd w:id="343"/>
      <w:bookmarkEnd w:id="344"/>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推动总部职能向战略管控与价值服务转型，适度下放经营自主权；深化业务板块整合协同，建立资源共享机制；完善差异化考核体系，将规划目标转化为年度KPI；培育“担当、务实、协同、增效”的企业文化，激发队伍活力。</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345" w:name="_Toc20482"/>
      <w:bookmarkStart w:id="346" w:name="_Toc7687"/>
      <w:bookmarkStart w:id="347" w:name="_Toc4949"/>
      <w:bookmarkStart w:id="348" w:name="_Toc14152"/>
      <w:bookmarkStart w:id="349" w:name="_Toc8852"/>
      <w:bookmarkStart w:id="350" w:name="_Toc23090"/>
      <w:r>
        <w:rPr>
          <w:rFonts w:hint="eastAsia" w:ascii="Times New Roman" w:hAnsi="Times New Roman" w:eastAsia="楷体_GB2312" w:cs="Times New Roman"/>
          <w:b/>
          <w:bCs/>
          <w:kern w:val="0"/>
          <w:sz w:val="32"/>
          <w:szCs w:val="36"/>
          <w:lang w:val="en-US" w:eastAsia="zh-CN" w:bidi="ar-SA"/>
          <w14:ligatures w14:val="standardContextual"/>
        </w:rPr>
        <w:t>三、</w:t>
      </w:r>
      <w:r>
        <w:rPr>
          <w:rFonts w:ascii="Times New Roman" w:hAnsi="Times New Roman" w:cs="Times New Roman"/>
          <w:highlight w:val="none"/>
        </w:rPr>
        <w:t>制度保障：完善制度体系，规范运营管理</w:t>
      </w:r>
      <w:bookmarkEnd w:id="345"/>
      <w:bookmarkEnd w:id="346"/>
      <w:bookmarkEnd w:id="347"/>
      <w:bookmarkEnd w:id="348"/>
      <w:bookmarkEnd w:id="349"/>
      <w:bookmarkEnd w:id="350"/>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hint="eastAsia" w:ascii="Times New Roman" w:hAnsi="Times New Roman" w:cs="Times New Roman"/>
          <w:highlight w:val="none"/>
        </w:rPr>
        <w:t>修订公司章程及内控制度，规范资产处置、投资融资等关键流程；制定《僵尸企业快速出清操作指引》《存量资产分类盘活管理办法》等分类制度；建立制度执行评估机制，动态优化完善制度体系。</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351" w:name="_Toc5305"/>
      <w:bookmarkStart w:id="352" w:name="_Toc2312"/>
      <w:bookmarkStart w:id="353" w:name="_Toc2401"/>
      <w:bookmarkStart w:id="354" w:name="_Toc30107"/>
      <w:bookmarkStart w:id="355" w:name="_Toc2893"/>
      <w:bookmarkStart w:id="356" w:name="_Toc18899"/>
      <w:r>
        <w:rPr>
          <w:rFonts w:hint="eastAsia" w:ascii="Times New Roman" w:hAnsi="Times New Roman" w:eastAsia="楷体_GB2312" w:cs="Times New Roman"/>
          <w:b/>
          <w:bCs/>
          <w:kern w:val="0"/>
          <w:sz w:val="32"/>
          <w:szCs w:val="36"/>
          <w:lang w:val="en-US" w:eastAsia="zh-CN" w:bidi="ar-SA"/>
          <w14:ligatures w14:val="standardContextual"/>
        </w:rPr>
        <w:t>四、</w:t>
      </w:r>
      <w:r>
        <w:rPr>
          <w:rFonts w:ascii="Times New Roman" w:hAnsi="Times New Roman" w:cs="Times New Roman"/>
          <w:highlight w:val="none"/>
        </w:rPr>
        <w:t>财务保障：强化资金管控，拓宽融资渠道</w:t>
      </w:r>
      <w:bookmarkEnd w:id="351"/>
      <w:bookmarkEnd w:id="352"/>
      <w:bookmarkEnd w:id="353"/>
      <w:bookmarkEnd w:id="354"/>
      <w:bookmarkEnd w:id="355"/>
      <w:bookmarkEnd w:id="356"/>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实施全面预算管理，强化资金集中统筹，严控非刚性支出，提高资金使用效率；积极争取政策资金支持，对接省级化债专项资金、公交运营补贴、资产盘活专项补助等，缓解资金压力；创新融资模式，在合规前提下争取政策性银行贷款、融资租赁等融资渠道，探索存量资产证券化（ABS），盘活优质资产；建立资金使用监控机制，对专项资金实行专款专用，确保资金投向核心任务和重点项目。</w:t>
      </w:r>
      <w:r>
        <w:rPr>
          <w:rFonts w:hint="eastAsia" w:ascii="Times New Roman" w:hAnsi="Times New Roman" w:cs="Times New Roman"/>
        </w:rPr>
        <w:t>同时，推动财务数智化转型升级，实现财务管理从传统核算向价值创造转变；并加强税务筹划，积极争取税收优惠政策。</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357" w:name="_Toc1417"/>
      <w:bookmarkStart w:id="358" w:name="_Toc24570"/>
      <w:bookmarkStart w:id="359" w:name="_Toc16956"/>
      <w:bookmarkStart w:id="360" w:name="_Toc30877"/>
      <w:bookmarkStart w:id="361" w:name="_Toc22730"/>
      <w:bookmarkStart w:id="362" w:name="_Toc21681"/>
      <w:r>
        <w:rPr>
          <w:rFonts w:hint="eastAsia" w:ascii="Times New Roman" w:hAnsi="Times New Roman" w:eastAsia="楷体_GB2312" w:cs="Times New Roman"/>
          <w:b/>
          <w:bCs/>
          <w:kern w:val="0"/>
          <w:sz w:val="32"/>
          <w:szCs w:val="36"/>
          <w:lang w:val="en-US" w:eastAsia="zh-CN" w:bidi="ar-SA"/>
          <w14:ligatures w14:val="standardContextual"/>
        </w:rPr>
        <w:t>五、</w:t>
      </w:r>
      <w:r>
        <w:rPr>
          <w:rFonts w:ascii="Times New Roman" w:hAnsi="Times New Roman" w:cs="Times New Roman"/>
          <w:highlight w:val="none"/>
        </w:rPr>
        <w:t>人才保障：优化队伍结构，提升专业能力</w:t>
      </w:r>
      <w:bookmarkEnd w:id="357"/>
      <w:bookmarkEnd w:id="358"/>
      <w:bookmarkEnd w:id="359"/>
      <w:bookmarkEnd w:id="360"/>
      <w:bookmarkEnd w:id="361"/>
      <w:bookmarkEnd w:id="362"/>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优化队伍结构，提升专业能力。市场化引进财务、法务、资产运营等紧缺专业人才，采用柔性用才模式；与本地院校合作定向培养技能型人才，开展多维度内部培训；建立能上能下用人机制，选拔优秀年轻员工充实管理岗位；完善薪酬福利与激励体系，改善一线待遇，增强人才归属感和留存率。</w:t>
      </w:r>
    </w:p>
    <w:p>
      <w:pPr>
        <w:pStyle w:val="3"/>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ind w:left="0" w:leftChars="0" w:firstLine="643" w:firstLineChars="200"/>
        <w:textAlignment w:val="auto"/>
        <w:rPr>
          <w:rFonts w:hint="default" w:ascii="Times New Roman" w:hAnsi="Times New Roman" w:cs="Times New Roman"/>
          <w:highlight w:val="none"/>
        </w:rPr>
      </w:pPr>
      <w:bookmarkStart w:id="363" w:name="_Toc16754"/>
      <w:bookmarkStart w:id="364" w:name="_Toc25785"/>
      <w:bookmarkStart w:id="365" w:name="_Toc8517"/>
      <w:bookmarkStart w:id="366" w:name="_Toc13909"/>
      <w:bookmarkStart w:id="367" w:name="_Toc9296"/>
      <w:bookmarkStart w:id="368" w:name="_Toc25221"/>
      <w:r>
        <w:rPr>
          <w:rFonts w:hint="eastAsia" w:ascii="Times New Roman" w:hAnsi="Times New Roman" w:eastAsia="楷体_GB2312" w:cs="Times New Roman"/>
          <w:b/>
          <w:bCs/>
          <w:kern w:val="0"/>
          <w:sz w:val="32"/>
          <w:szCs w:val="36"/>
          <w:lang w:val="en-US" w:eastAsia="zh-CN" w:bidi="ar-SA"/>
          <w14:ligatures w14:val="standardContextual"/>
        </w:rPr>
        <w:t>六、</w:t>
      </w:r>
      <w:r>
        <w:rPr>
          <w:rFonts w:ascii="Times New Roman" w:hAnsi="Times New Roman" w:cs="Times New Roman"/>
          <w:highlight w:val="none"/>
        </w:rPr>
        <w:t>数字化保障：加快数字转型，提升管理效率</w:t>
      </w:r>
      <w:bookmarkEnd w:id="363"/>
      <w:bookmarkEnd w:id="364"/>
      <w:bookmarkEnd w:id="365"/>
      <w:bookmarkEnd w:id="366"/>
      <w:bookmarkEnd w:id="367"/>
      <w:bookmarkEnd w:id="368"/>
    </w:p>
    <w:p>
      <w:pPr>
        <w:keepNext w:val="0"/>
        <w:keepLines w:val="0"/>
        <w:pageBreakBefore w:val="0"/>
        <w:widowControl w:val="0"/>
        <w:kinsoku/>
        <w:wordWrap/>
        <w:overflowPunct/>
        <w:topLinePunct w:val="0"/>
        <w:autoSpaceDE/>
        <w:autoSpaceDN/>
        <w:bidi w:val="0"/>
        <w:adjustRightInd/>
        <w:snapToGrid/>
        <w:spacing w:beforeAutospacing="0" w:afterAutospacing="0"/>
        <w:ind w:leftChars="0" w:firstLine="640" w:firstLineChars="200"/>
        <w:textAlignment w:val="auto"/>
        <w:rPr>
          <w:rFonts w:ascii="Times New Roman" w:hAnsi="Times New Roman" w:cs="Times New Roman"/>
          <w:highlight w:val="none"/>
        </w:rPr>
      </w:pPr>
      <w:r>
        <w:rPr>
          <w:rFonts w:ascii="Times New Roman" w:hAnsi="Times New Roman" w:cs="Times New Roman"/>
          <w:highlight w:val="none"/>
        </w:rPr>
        <w:t>加快数字转型，提升管理效率。搭建一体化数字化管理平台，实现核心业务数据实时共享、动态监控；推动诚睿</w:t>
      </w:r>
      <w:r>
        <w:rPr>
          <w:rFonts w:hint="eastAsia" w:ascii="Times New Roman" w:hAnsi="Times New Roman" w:cs="Times New Roman"/>
          <w:highlight w:val="none"/>
        </w:rPr>
        <w:t>公司</w:t>
      </w:r>
      <w:r>
        <w:rPr>
          <w:rFonts w:ascii="Times New Roman" w:hAnsi="Times New Roman" w:cs="Times New Roman"/>
          <w:highlight w:val="none"/>
        </w:rPr>
        <w:t>、恒顺</w:t>
      </w:r>
      <w:r>
        <w:rPr>
          <w:rFonts w:hint="eastAsia" w:ascii="Times New Roman" w:hAnsi="Times New Roman" w:cs="Times New Roman"/>
          <w:highlight w:val="none"/>
        </w:rPr>
        <w:t>公司</w:t>
      </w:r>
      <w:r>
        <w:rPr>
          <w:rFonts w:ascii="Times New Roman" w:hAnsi="Times New Roman" w:cs="Times New Roman"/>
          <w:highlight w:val="none"/>
        </w:rPr>
        <w:t>核心业务数字化升级，实现线上化、智能化运营；建立数据安全保障体系，制定分级分类管理办法，强化安全防护，确保数据合规使用。</w:t>
      </w:r>
    </w:p>
    <w:p>
      <w:pPr>
        <w:ind w:firstLine="480"/>
        <w:rPr>
          <w:rFonts w:ascii="Times New Roman" w:hAnsi="Times New Roman" w:eastAsia="宋体" w:cs="Times New Roman"/>
          <w:color w:val="000000"/>
          <w:kern w:val="0"/>
          <w:sz w:val="24"/>
          <w:highlight w:val="none"/>
          <w:lang w:bidi="ar"/>
        </w:rPr>
      </w:pPr>
      <w:r>
        <w:rPr>
          <w:rFonts w:ascii="Times New Roman" w:hAnsi="Times New Roman" w:eastAsia="宋体" w:cs="Times New Roman"/>
          <w:color w:val="000000"/>
          <w:kern w:val="0"/>
          <w:sz w:val="24"/>
          <w:highlight w:val="none"/>
          <w:lang w:bidi="ar"/>
        </w:rPr>
        <w:br w:type="page"/>
      </w:r>
    </w:p>
    <w:p>
      <w:pPr>
        <w:pStyle w:val="2"/>
        <w:spacing w:before="192" w:after="192"/>
        <w:rPr>
          <w:rFonts w:hint="default" w:ascii="Times New Roman" w:hAnsi="Times New Roman" w:cs="Times New Roman"/>
          <w:highlight w:val="none"/>
        </w:rPr>
        <w:sectPr>
          <w:pgSz w:w="11906" w:h="16838"/>
          <w:pgMar w:top="2098" w:right="1474" w:bottom="1984" w:left="1587" w:header="851" w:footer="992" w:gutter="0"/>
          <w:cols w:space="0" w:num="1"/>
          <w:rtlGutter w:val="0"/>
          <w:docGrid w:type="lines" w:linePitch="442" w:charSpace="0"/>
        </w:sectPr>
      </w:pPr>
      <w:bookmarkStart w:id="369" w:name="_Toc222993874"/>
      <w:bookmarkStart w:id="370" w:name="_Toc2197"/>
    </w:p>
    <w:p>
      <w:pPr>
        <w:pStyle w:val="2"/>
        <w:numPr>
          <w:ilvl w:val="0"/>
          <w:numId w:val="0"/>
        </w:numPr>
        <w:spacing w:before="221" w:after="221"/>
        <w:jc w:val="both"/>
        <w:rPr>
          <w:rFonts w:hint="default" w:ascii="Times New Roman" w:hAnsi="Times New Roman" w:cs="Times New Roman"/>
          <w:highlight w:val="none"/>
        </w:rPr>
      </w:pPr>
      <w:bookmarkStart w:id="371" w:name="_Toc29362"/>
      <w:bookmarkStart w:id="372" w:name="_Toc20794"/>
      <w:bookmarkStart w:id="373" w:name="_Toc15498"/>
      <w:bookmarkStart w:id="374" w:name="_Toc25355"/>
      <w:bookmarkStart w:id="375" w:name="_Toc2115"/>
      <w:bookmarkStart w:id="376" w:name="_Toc8410"/>
      <w:r>
        <w:rPr>
          <w:rFonts w:ascii="Times New Roman" w:hAnsi="Times New Roman" w:cs="Times New Roman"/>
          <w:highlight w:val="none"/>
        </w:rPr>
        <w:t>附</w:t>
      </w:r>
      <w:r>
        <w:rPr>
          <w:rFonts w:hint="eastAsia" w:ascii="Times New Roman" w:hAnsi="Times New Roman" w:cs="Times New Roman"/>
          <w:highlight w:val="none"/>
          <w:lang w:val="en-US" w:eastAsia="zh-CN"/>
        </w:rPr>
        <w:t>表2-1：公有公司“十五五”重点工作分解表</w:t>
      </w:r>
      <w:r>
        <w:rPr>
          <w:rFonts w:ascii="Times New Roman" w:hAnsi="Times New Roman" w:cs="Times New Roman"/>
          <w:highlight w:val="none"/>
        </w:rPr>
        <w:t>（三年行动计划）</w:t>
      </w:r>
      <w:bookmarkEnd w:id="369"/>
      <w:bookmarkEnd w:id="370"/>
      <w:bookmarkEnd w:id="371"/>
      <w:bookmarkEnd w:id="372"/>
      <w:bookmarkEnd w:id="373"/>
      <w:bookmarkEnd w:id="374"/>
      <w:bookmarkEnd w:id="375"/>
      <w:bookmarkEnd w:id="376"/>
    </w:p>
    <w:tbl>
      <w:tblPr>
        <w:tblStyle w:val="18"/>
        <w:tblW w:w="131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6"/>
        <w:gridCol w:w="1837"/>
        <w:gridCol w:w="5265"/>
        <w:gridCol w:w="3060"/>
        <w:gridCol w:w="1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blHeader/>
          <w:jc w:val="center"/>
        </w:trPr>
        <w:tc>
          <w:tcPr>
            <w:tcW w:w="1246" w:type="dxa"/>
            <w:shd w:val="clear" w:color="auto" w:fill="D7D7D7" w:themeFill="background1" w:themeFillShade="D8"/>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年度</w:t>
            </w:r>
          </w:p>
        </w:tc>
        <w:tc>
          <w:tcPr>
            <w:tcW w:w="1837" w:type="dxa"/>
            <w:shd w:val="clear" w:color="auto" w:fill="D7D7D7" w:themeFill="background1" w:themeFillShade="D8"/>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战略方向</w:t>
            </w:r>
          </w:p>
        </w:tc>
        <w:tc>
          <w:tcPr>
            <w:tcW w:w="5265" w:type="dxa"/>
            <w:shd w:val="clear" w:color="auto" w:fill="D7D7D7" w:themeFill="background1" w:themeFillShade="D8"/>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重点任务与举措</w:t>
            </w:r>
          </w:p>
        </w:tc>
        <w:tc>
          <w:tcPr>
            <w:tcW w:w="3060" w:type="dxa"/>
            <w:shd w:val="clear" w:color="auto" w:fill="D7D7D7" w:themeFill="background1" w:themeFillShade="D8"/>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预期成果/指标</w:t>
            </w:r>
          </w:p>
        </w:tc>
        <w:tc>
          <w:tcPr>
            <w:tcW w:w="1735" w:type="dxa"/>
            <w:shd w:val="clear" w:color="auto" w:fill="D7D7D7" w:themeFill="background1" w:themeFillShade="D8"/>
            <w:noWrap w:val="0"/>
            <w:tcMar>
              <w:top w:w="-1" w:type="dxa"/>
              <w:left w:w="-1" w:type="dxa"/>
              <w:bottom w:w="-1" w:type="dxa"/>
              <w:right w:w="-1"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b/>
                <w:bCs/>
                <w:sz w:val="28"/>
                <w:szCs w:val="28"/>
              </w:rPr>
            </w:pPr>
            <w:r>
              <w:rPr>
                <w:rFonts w:hint="eastAsia" w:ascii="Times New Roman" w:hAnsi="Times New Roman" w:cs="Times New Roman"/>
                <w:b/>
                <w:bCs/>
                <w:sz w:val="28"/>
                <w:szCs w:val="28"/>
              </w:rPr>
              <w:t>责任部门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5" w:hRule="atLeast"/>
          <w:jc w:val="center"/>
        </w:trPr>
        <w:tc>
          <w:tcPr>
            <w:tcW w:w="1246" w:type="dxa"/>
            <w:vMerge w:val="restart"/>
            <w:noWrap w:val="0"/>
            <w:tcMar>
              <w:top w:w="-1" w:type="dxa"/>
              <w:left w:w="-1" w:type="dxa"/>
              <w:bottom w:w="-1" w:type="dxa"/>
              <w:right w:w="-1" w:type="dxa"/>
            </w:tcMar>
            <w:vAlign w:val="center"/>
          </w:tcPr>
          <w:p>
            <w:pPr>
              <w:snapToGrid w:val="0"/>
              <w:spacing w:line="240" w:lineRule="auto"/>
              <w:ind w:left="0" w:leftChars="0" w:right="0" w:rightChars="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2026年</w:t>
            </w:r>
          </w:p>
        </w:tc>
        <w:tc>
          <w:tcPr>
            <w:tcW w:w="1837"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历史遗留问题处置平台</w:t>
            </w:r>
          </w:p>
        </w:tc>
        <w:tc>
          <w:tcPr>
            <w:tcW w:w="5265" w:type="dxa"/>
            <w:noWrap w:val="0"/>
            <w:tcMar>
              <w:top w:w="-1" w:type="dxa"/>
              <w:left w:w="-1" w:type="dxa"/>
              <w:bottom w:w="-1" w:type="dxa"/>
              <w:right w:w="-1" w:type="dxa"/>
            </w:tcMar>
            <w:vAlign w:val="center"/>
          </w:tcPr>
          <w:p>
            <w:pPr>
              <w:pStyle w:val="22"/>
              <w:numPr>
                <w:ilvl w:val="0"/>
                <w:numId w:val="2"/>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组建“历史遗留问题处置专班”，完成90%以上历史遗留问题情况的梳理与分类（含资产、人员、债务等）。</w:t>
            </w:r>
          </w:p>
          <w:p>
            <w:pPr>
              <w:pStyle w:val="22"/>
              <w:numPr>
                <w:ilvl w:val="0"/>
                <w:numId w:val="2"/>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启动2-3家债务关系相对清晰、无重大维稳风险的“僵尸企业”司法破产清算程序试点。</w:t>
            </w:r>
          </w:p>
          <w:p>
            <w:pPr>
              <w:pStyle w:val="22"/>
              <w:numPr>
                <w:ilvl w:val="0"/>
                <w:numId w:val="2"/>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建立“一企一册”职工诉求台账，重点针对嘉乐食品、精艺通讯等涉及人数多、欠款大的企业，制定分批化解沟通方案。</w:t>
            </w:r>
          </w:p>
          <w:p>
            <w:pPr>
              <w:pStyle w:val="22"/>
              <w:numPr>
                <w:ilvl w:val="0"/>
                <w:numId w:val="2"/>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联合市信访局、人社局，建立月度联席沟通机制，确保信访件办结率90%，杜绝群体性事件。</w:t>
            </w:r>
          </w:p>
        </w:tc>
        <w:tc>
          <w:tcPr>
            <w:tcW w:w="3060"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□历史遗留问题分类台账覆盖率90%以上。</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□启动2项重点难点历史遗留问题的攻坚工作。</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□无因历史遗留问题处置不当引发的群体性事件。</w:t>
            </w:r>
          </w:p>
        </w:tc>
        <w:tc>
          <w:tcPr>
            <w:tcW w:w="1735"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企管部、信访维稳中心、党务人事部、财审部。（其他部门以及下属公司全力配合）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7" w:hRule="atLeast"/>
          <w:jc w:val="center"/>
        </w:trPr>
        <w:tc>
          <w:tcPr>
            <w:tcW w:w="1246" w:type="dxa"/>
            <w:vMerge w:val="continue"/>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p>
        </w:tc>
        <w:tc>
          <w:tcPr>
            <w:tcW w:w="1837"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城市公共交通运营商</w:t>
            </w:r>
          </w:p>
        </w:tc>
        <w:tc>
          <w:tcPr>
            <w:tcW w:w="5265" w:type="dxa"/>
            <w:noWrap w:val="0"/>
            <w:tcMar>
              <w:top w:w="-1" w:type="dxa"/>
              <w:left w:w="-1" w:type="dxa"/>
              <w:bottom w:w="-1" w:type="dxa"/>
              <w:right w:w="-1" w:type="dxa"/>
            </w:tcMar>
            <w:vAlign w:val="center"/>
          </w:tcPr>
          <w:p>
            <w:pPr>
              <w:pStyle w:val="22"/>
              <w:numPr>
                <w:ilvl w:val="0"/>
                <w:numId w:val="3"/>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完成公交线网优化方案，合并低效线路1—2条，试点开通1条“校园定制专线”，提高运营效率。</w:t>
            </w:r>
          </w:p>
          <w:p>
            <w:pPr>
              <w:pStyle w:val="22"/>
              <w:numPr>
                <w:ilvl w:val="0"/>
                <w:numId w:val="3"/>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推动公交票价机制改革调研，形成分段收费初步方案并上报主管部门，同时与政府部门加强沟通交流，力求财政补贴及时足额到位。</w:t>
            </w:r>
          </w:p>
          <w:p>
            <w:pPr>
              <w:pStyle w:val="22"/>
              <w:numPr>
                <w:ilvl w:val="0"/>
                <w:numId w:val="3"/>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重启出租车业务可行性研究，完成经营模式与资金测算方案。</w:t>
            </w:r>
          </w:p>
          <w:p>
            <w:pPr>
              <w:pStyle w:val="22"/>
              <w:numPr>
                <w:ilvl w:val="0"/>
                <w:numId w:val="3"/>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争取将恩平市恒安汽车服务有限公司、恩平市恩骏机动车驾驶员培训有限公司划入公有公司，与恒顺公司初步形成交通服务生态。</w:t>
            </w:r>
          </w:p>
          <w:p>
            <w:pPr>
              <w:pStyle w:val="22"/>
              <w:numPr>
                <w:ilvl w:val="0"/>
                <w:numId w:val="3"/>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与1家快递物流企业（如邮政）签订农村“客货邮”融合试点协议。</w:t>
            </w:r>
          </w:p>
        </w:tc>
        <w:tc>
          <w:tcPr>
            <w:tcW w:w="3060"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□定制公交线路成功推行，实现营收。</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□公交运营成本同比下降3%。</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□完成《出租车重启运营方案》研究。</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□签约1家物流合作方，开通1条试点线路。</w:t>
            </w:r>
          </w:p>
        </w:tc>
        <w:tc>
          <w:tcPr>
            <w:tcW w:w="1735"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恒顺公司、企管部、财审部。（其他部门以及下属公司全力配合）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6" w:hRule="atLeast"/>
          <w:jc w:val="center"/>
        </w:trPr>
        <w:tc>
          <w:tcPr>
            <w:tcW w:w="1246" w:type="dxa"/>
            <w:vMerge w:val="continue"/>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p>
        </w:tc>
        <w:tc>
          <w:tcPr>
            <w:tcW w:w="1837"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资产盘活运营平台</w:t>
            </w:r>
          </w:p>
        </w:tc>
        <w:tc>
          <w:tcPr>
            <w:tcW w:w="5265" w:type="dxa"/>
            <w:noWrap w:val="0"/>
            <w:tcMar>
              <w:top w:w="-1" w:type="dxa"/>
              <w:left w:w="-1" w:type="dxa"/>
              <w:bottom w:w="-1" w:type="dxa"/>
              <w:right w:w="-1" w:type="dxa"/>
            </w:tcMar>
            <w:vAlign w:val="center"/>
          </w:tcPr>
          <w:p>
            <w:pPr>
              <w:pStyle w:val="22"/>
              <w:numPr>
                <w:ilvl w:val="0"/>
                <w:numId w:val="4"/>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完成90%以上存量资产的清查与建档，建立动态资产台账。</w:t>
            </w:r>
          </w:p>
          <w:p>
            <w:pPr>
              <w:pStyle w:val="22"/>
              <w:numPr>
                <w:ilvl w:val="0"/>
                <w:numId w:val="4"/>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筛选出1-2处位置尚可、产权相对清晰的闲置物业，进行简易修缮后公开招租，试行“租金+运营分成”模式。</w:t>
            </w:r>
          </w:p>
          <w:p>
            <w:pPr>
              <w:pStyle w:val="22"/>
              <w:numPr>
                <w:ilvl w:val="0"/>
                <w:numId w:val="4"/>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启动“恩平港升级改造项目”前期调研与合作伙伴初步接洽。</w:t>
            </w:r>
          </w:p>
          <w:p>
            <w:pPr>
              <w:pStyle w:val="22"/>
              <w:numPr>
                <w:ilvl w:val="0"/>
                <w:numId w:val="4"/>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搭建简易版资产租赁管理线上流程，实现合同与租金线上登记。</w:t>
            </w:r>
          </w:p>
        </w:tc>
        <w:tc>
          <w:tcPr>
            <w:tcW w:w="3060"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□资产清查完成率90%，台账上线。</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□闲置物业盘活率提升10%，出租收入稳定在700万元以上。</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□承租人续租率提升至75%。</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□完成《恩平港发展定位与盘活路径报告》。</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□实现50%以上新签租赁合同线上管理。</w:t>
            </w:r>
          </w:p>
        </w:tc>
        <w:tc>
          <w:tcPr>
            <w:tcW w:w="1735"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企管部、财审部、诚睿公司。（其他部门以及下属公司全力配合）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2" w:hRule="atLeast"/>
          <w:jc w:val="center"/>
        </w:trPr>
        <w:tc>
          <w:tcPr>
            <w:tcW w:w="1246" w:type="dxa"/>
            <w:vMerge w:val="restart"/>
            <w:noWrap w:val="0"/>
            <w:tcMar>
              <w:top w:w="-1" w:type="dxa"/>
              <w:left w:w="-1" w:type="dxa"/>
              <w:bottom w:w="-1" w:type="dxa"/>
              <w:right w:w="-1" w:type="dxa"/>
            </w:tcMar>
            <w:vAlign w:val="center"/>
          </w:tcPr>
          <w:p>
            <w:pPr>
              <w:snapToGrid w:val="0"/>
              <w:spacing w:line="240" w:lineRule="auto"/>
              <w:ind w:left="0" w:leftChars="0" w:right="0" w:rightChars="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2027年</w:t>
            </w:r>
          </w:p>
        </w:tc>
        <w:tc>
          <w:tcPr>
            <w:tcW w:w="1837"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历史遗留问题处置平台</w:t>
            </w:r>
          </w:p>
        </w:tc>
        <w:tc>
          <w:tcPr>
            <w:tcW w:w="5265" w:type="dxa"/>
            <w:noWrap w:val="0"/>
            <w:tcMar>
              <w:top w:w="-1" w:type="dxa"/>
              <w:left w:w="-1" w:type="dxa"/>
              <w:bottom w:w="-1" w:type="dxa"/>
              <w:right w:w="-1" w:type="dxa"/>
            </w:tcMar>
            <w:vAlign w:val="center"/>
          </w:tcPr>
          <w:p>
            <w:pPr>
              <w:pStyle w:val="22"/>
              <w:numPr>
                <w:ilvl w:val="0"/>
                <w:numId w:val="5"/>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完成100%历史遗留问题情况的梳理与分类（含资产、人员、债务等）。</w:t>
            </w:r>
          </w:p>
          <w:p>
            <w:pPr>
              <w:pStyle w:val="22"/>
              <w:numPr>
                <w:ilvl w:val="0"/>
                <w:numId w:val="5"/>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扩大“僵尸企业”或“三无企业”（无实缴资本、无经营场所、无从业人员的空壳企业）出清范围，力争完成2-3家企业的破产清算或强制注销。</w:t>
            </w:r>
          </w:p>
          <w:p>
            <w:pPr>
              <w:pStyle w:val="22"/>
              <w:numPr>
                <w:ilvl w:val="0"/>
                <w:numId w:val="5"/>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针对职工社保欠费核心矛盾，争取市级专项化债资金，解决1-2家重点企业部分职工的社保补缴问题。</w:t>
            </w:r>
          </w:p>
          <w:p>
            <w:pPr>
              <w:pStyle w:val="22"/>
              <w:numPr>
                <w:ilvl w:val="0"/>
                <w:numId w:val="5"/>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职工安置标准化：制定《职工安置操作手册》，与人社部门联合开展1次集中安置活动。</w:t>
            </w:r>
          </w:p>
          <w:p>
            <w:pPr>
              <w:pStyle w:val="22"/>
              <w:numPr>
                <w:ilvl w:val="0"/>
                <w:numId w:val="5"/>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完善信访预警系统，对高风险群体实施动态监测与主动约谈。</w:t>
            </w:r>
          </w:p>
        </w:tc>
        <w:tc>
          <w:tcPr>
            <w:tcW w:w="3060"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□历史遗留问题分类台账覆盖率100%以上。</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□完成2-3家“三无企业”（无实缴资本、无经营场所、无从业人员的空壳企业）或“僵尸企业”出清。</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□化解历史欠款总额不低于50万元。</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□无因历史遗留问题处置不当引发的群体性事件。</w:t>
            </w:r>
          </w:p>
        </w:tc>
        <w:tc>
          <w:tcPr>
            <w:tcW w:w="1735"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企管部、信访维稳中心、党务人事部。（其他部门以及下属公司全力配合）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5" w:hRule="atLeast"/>
          <w:jc w:val="center"/>
        </w:trPr>
        <w:tc>
          <w:tcPr>
            <w:tcW w:w="1246" w:type="dxa"/>
            <w:vMerge w:val="continue"/>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p>
        </w:tc>
        <w:tc>
          <w:tcPr>
            <w:tcW w:w="1837"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城市公共交通运营商</w:t>
            </w:r>
          </w:p>
        </w:tc>
        <w:tc>
          <w:tcPr>
            <w:tcW w:w="5265" w:type="dxa"/>
            <w:noWrap w:val="0"/>
            <w:tcMar>
              <w:top w:w="-1" w:type="dxa"/>
              <w:left w:w="-1" w:type="dxa"/>
              <w:bottom w:w="-1" w:type="dxa"/>
              <w:right w:w="-1" w:type="dxa"/>
            </w:tcMar>
            <w:vAlign w:val="center"/>
          </w:tcPr>
          <w:p>
            <w:pPr>
              <w:pStyle w:val="22"/>
              <w:numPr>
                <w:ilvl w:val="0"/>
                <w:numId w:val="6"/>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票价机制改革落地：获得行业主管部门对票价改革的政策支持，试点推行1—2条公交线路的分段计价试点。</w:t>
            </w:r>
          </w:p>
          <w:p>
            <w:pPr>
              <w:pStyle w:val="22"/>
              <w:numPr>
                <w:ilvl w:val="0"/>
                <w:numId w:val="6"/>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启动老旧公交车更新可行性研究及新能源购车补贴申请。</w:t>
            </w:r>
          </w:p>
          <w:p>
            <w:pPr>
              <w:pStyle w:val="22"/>
              <w:numPr>
                <w:ilvl w:val="0"/>
                <w:numId w:val="6"/>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试点投放首批5—10辆出租车，建立市场化运营机制。</w:t>
            </w:r>
          </w:p>
          <w:p>
            <w:pPr>
              <w:pStyle w:val="22"/>
              <w:numPr>
                <w:ilvl w:val="0"/>
                <w:numId w:val="6"/>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将“客货邮”融合试点扩展至3个乡镇，实现稳定运营。</w:t>
            </w:r>
          </w:p>
          <w:p>
            <w:pPr>
              <w:pStyle w:val="22"/>
              <w:numPr>
                <w:ilvl w:val="0"/>
                <w:numId w:val="6"/>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启动老旧公交车更新可行性研究及新能源购车补贴申请。</w:t>
            </w:r>
          </w:p>
          <w:p>
            <w:pPr>
              <w:pStyle w:val="22"/>
              <w:numPr>
                <w:ilvl w:val="0"/>
                <w:numId w:val="6"/>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拓展公交车身、站台广告业务，实现广告收入突破。</w:t>
            </w:r>
          </w:p>
        </w:tc>
        <w:tc>
          <w:tcPr>
            <w:tcW w:w="3060"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□公交业务综合成本下降5%，试点线路票款收入提升3%。</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□出租车业务实现当月盈亏平衡。</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□“客货邮”业务覆盖乡镇达3个，单线日均带货量超50件。</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□完成新能源车更新方案及补贴申请报告。</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□广告业务年收入达到2万元。</w:t>
            </w:r>
          </w:p>
        </w:tc>
        <w:tc>
          <w:tcPr>
            <w:tcW w:w="1735"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恒顺公司、企管部、财审部。（其他部门以及下属公司全力配合）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9" w:hRule="atLeast"/>
          <w:jc w:val="center"/>
        </w:trPr>
        <w:tc>
          <w:tcPr>
            <w:tcW w:w="1246" w:type="dxa"/>
            <w:vMerge w:val="continue"/>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p>
        </w:tc>
        <w:tc>
          <w:tcPr>
            <w:tcW w:w="1837"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资产盘活运营平台</w:t>
            </w:r>
          </w:p>
        </w:tc>
        <w:tc>
          <w:tcPr>
            <w:tcW w:w="5265" w:type="dxa"/>
            <w:noWrap w:val="0"/>
            <w:tcMar>
              <w:top w:w="-1" w:type="dxa"/>
              <w:left w:w="-1" w:type="dxa"/>
              <w:bottom w:w="-1" w:type="dxa"/>
              <w:right w:w="-1" w:type="dxa"/>
            </w:tcMar>
            <w:vAlign w:val="center"/>
          </w:tcPr>
          <w:p>
            <w:pPr>
              <w:pStyle w:val="22"/>
              <w:numPr>
                <w:ilvl w:val="0"/>
                <w:numId w:val="6"/>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完成100%以上存量资产的清查与建档，建立动态资产台账。</w:t>
            </w:r>
            <w:r>
              <w:rPr>
                <w:rFonts w:hint="eastAsia" w:ascii="Times New Roman" w:hAnsi="Times New Roman" w:eastAsia="仿宋_GB2312" w:cs="Times New Roman"/>
                <w:kern w:val="2"/>
                <w:sz w:val="21"/>
                <w:szCs w:val="21"/>
                <w:lang w:val="en-US" w:eastAsia="zh-CN" w:bidi="ar-SA"/>
              </w:rPr>
              <w:cr/>
            </w:r>
          </w:p>
          <w:p>
            <w:pPr>
              <w:pStyle w:val="22"/>
              <w:numPr>
                <w:ilvl w:val="0"/>
                <w:numId w:val="6"/>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资产维修改造启动，对30%以上老旧厂房/商铺开展基础维修改造（防水、电路升级），降低承租人改造成本。</w:t>
            </w:r>
          </w:p>
          <w:p>
            <w:pPr>
              <w:pStyle w:val="22"/>
              <w:numPr>
                <w:ilvl w:val="0"/>
                <w:numId w:val="6"/>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资产盘活项目试点，启动1个重点资产项目，完成可行性报告。</w:t>
            </w:r>
          </w:p>
          <w:p>
            <w:pPr>
              <w:pStyle w:val="22"/>
              <w:numPr>
                <w:ilvl w:val="0"/>
                <w:numId w:val="6"/>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资产数字化管理试点，搭建简易版资产台账系统（覆盖80%存量资产），实时监控出租率、租金波动。</w:t>
            </w:r>
          </w:p>
          <w:p>
            <w:pPr>
              <w:pStyle w:val="22"/>
              <w:numPr>
                <w:ilvl w:val="0"/>
                <w:numId w:val="6"/>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推动1-2宗零散土地的整合，尝试“打包出租”给仓储物流企业。</w:t>
            </w:r>
          </w:p>
        </w:tc>
        <w:tc>
          <w:tcPr>
            <w:tcW w:w="3060"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□资产清查完成率100%，资产台账更完整。</w:t>
            </w:r>
            <w:r>
              <w:rPr>
                <w:rFonts w:hint="eastAsia" w:ascii="Times New Roman" w:hAnsi="Times New Roman" w:eastAsia="仿宋_GB2312" w:cs="Times New Roman"/>
                <w:kern w:val="2"/>
                <w:sz w:val="21"/>
                <w:szCs w:val="21"/>
                <w:lang w:val="en-US" w:eastAsia="zh-CN" w:bidi="ar-SA"/>
              </w:rPr>
              <w:cr/>
            </w:r>
            <w:r>
              <w:rPr>
                <w:rFonts w:hint="eastAsia" w:ascii="Times New Roman" w:hAnsi="Times New Roman" w:eastAsia="仿宋_GB2312" w:cs="Times New Roman"/>
                <w:kern w:val="2"/>
                <w:sz w:val="21"/>
                <w:szCs w:val="21"/>
                <w:lang w:val="en-US" w:eastAsia="zh-CN" w:bidi="ar-SA"/>
              </w:rPr>
              <w:t>□完成1-2处老旧厂房升级改造与招商。</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□成功盘活1个资产项目。</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□出租收入同比增长5%。</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□资产管理系统覆盖80%以上在租资产。</w:t>
            </w:r>
          </w:p>
        </w:tc>
        <w:tc>
          <w:tcPr>
            <w:tcW w:w="1735"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企管部、诚睿公司、财审部。（其他部门以及下属公司全力配合）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46" w:type="dxa"/>
            <w:vMerge w:val="restart"/>
            <w:noWrap w:val="0"/>
            <w:tcMar>
              <w:top w:w="-1" w:type="dxa"/>
              <w:left w:w="-1" w:type="dxa"/>
              <w:bottom w:w="-1" w:type="dxa"/>
              <w:right w:w="-1" w:type="dxa"/>
            </w:tcMar>
            <w:vAlign w:val="center"/>
          </w:tcPr>
          <w:p>
            <w:pPr>
              <w:snapToGrid w:val="0"/>
              <w:spacing w:line="240" w:lineRule="auto"/>
              <w:ind w:left="0" w:leftChars="0" w:right="0" w:rightChars="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2028年</w:t>
            </w:r>
          </w:p>
        </w:tc>
        <w:tc>
          <w:tcPr>
            <w:tcW w:w="1837"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历史遗留问题处置平台</w:t>
            </w:r>
          </w:p>
        </w:tc>
        <w:tc>
          <w:tcPr>
            <w:tcW w:w="5265" w:type="dxa"/>
            <w:noWrap w:val="0"/>
            <w:tcMar>
              <w:top w:w="-1" w:type="dxa"/>
              <w:left w:w="-1" w:type="dxa"/>
              <w:bottom w:w="-1" w:type="dxa"/>
              <w:right w:w="-1" w:type="dxa"/>
            </w:tcMar>
            <w:vAlign w:val="center"/>
          </w:tcPr>
          <w:p>
            <w:pPr>
              <w:pStyle w:val="22"/>
              <w:numPr>
                <w:ilvl w:val="0"/>
                <w:numId w:val="7"/>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完成2-3家“三无企业”（无实缴资本、无经营场所、无从业人员的空壳企业）或“僵尸企业”出清，历史遗留问题化解率（按企业数）达30%。</w:t>
            </w:r>
          </w:p>
          <w:p>
            <w:pPr>
              <w:pStyle w:val="22"/>
              <w:numPr>
                <w:ilvl w:val="0"/>
                <w:numId w:val="7"/>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基本形成历史遗留问题处置的标准化流程。</w:t>
            </w:r>
          </w:p>
          <w:p>
            <w:pPr>
              <w:pStyle w:val="22"/>
              <w:numPr>
                <w:ilvl w:val="0"/>
                <w:numId w:val="7"/>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建立职工再就业援助通道，与本地优质企业合作提供少量岗位。</w:t>
            </w:r>
          </w:p>
          <w:p>
            <w:pPr>
              <w:pStyle w:val="22"/>
              <w:numPr>
                <w:ilvl w:val="0"/>
                <w:numId w:val="7"/>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促进维稳机制常态化，建立“月度联席会”机制，提升历史遗留问题处置效率。</w:t>
            </w:r>
          </w:p>
        </w:tc>
        <w:tc>
          <w:tcPr>
            <w:tcW w:w="3060"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□实现“零群体性事件”，信访办结率保持95%以上。</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□累计完成8家以上“三无企业”（无实缴资本、无经营场所、无从业人员的空壳企业）或“僵尸企业”出清。</w:t>
            </w:r>
            <w:r>
              <w:rPr>
                <w:rFonts w:hint="eastAsia" w:ascii="Times New Roman" w:hAnsi="Times New Roman" w:eastAsia="仿宋_GB2312" w:cs="Times New Roman"/>
                <w:kern w:val="2"/>
                <w:sz w:val="21"/>
                <w:szCs w:val="21"/>
                <w:lang w:val="en-US" w:eastAsia="zh-CN" w:bidi="ar-SA"/>
              </w:rPr>
              <w:cr/>
            </w:r>
            <w:r>
              <w:rPr>
                <w:rFonts w:hint="eastAsia" w:ascii="Times New Roman" w:hAnsi="Times New Roman" w:eastAsia="仿宋_GB2312" w:cs="Times New Roman"/>
                <w:kern w:val="2"/>
                <w:sz w:val="21"/>
                <w:szCs w:val="21"/>
                <w:lang w:val="en-US" w:eastAsia="zh-CN" w:bidi="ar-SA"/>
              </w:rPr>
              <w:t>□重大历史债务化解取得实质性进展，年度化解额超100万元。</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□协助1-2名以上历史遗留问题职工实现再就业。</w:t>
            </w:r>
          </w:p>
        </w:tc>
        <w:tc>
          <w:tcPr>
            <w:tcW w:w="1735"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企管部、信访维稳中心、党务人事部。（其他部门以及下属公司全力配合）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46" w:type="dxa"/>
            <w:vMerge w:val="continue"/>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p>
        </w:tc>
        <w:tc>
          <w:tcPr>
            <w:tcW w:w="1837"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城市公共交通运营商</w:t>
            </w:r>
          </w:p>
        </w:tc>
        <w:tc>
          <w:tcPr>
            <w:tcW w:w="5265" w:type="dxa"/>
            <w:noWrap w:val="0"/>
            <w:tcMar>
              <w:top w:w="-1" w:type="dxa"/>
              <w:left w:w="-1" w:type="dxa"/>
              <w:bottom w:w="-1" w:type="dxa"/>
              <w:right w:w="-1" w:type="dxa"/>
            </w:tcMar>
            <w:vAlign w:val="center"/>
          </w:tcPr>
          <w:p>
            <w:pPr>
              <w:pStyle w:val="22"/>
              <w:numPr>
                <w:ilvl w:val="0"/>
                <w:numId w:val="8"/>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新能源公交车更新首批车辆到位并投入运营。</w:t>
            </w:r>
          </w:p>
          <w:p>
            <w:pPr>
              <w:pStyle w:val="22"/>
              <w:numPr>
                <w:ilvl w:val="0"/>
                <w:numId w:val="8"/>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出租车规模扩展至15—20辆，成为公司稳定利润点之一。</w:t>
            </w:r>
          </w:p>
          <w:p>
            <w:pPr>
              <w:pStyle w:val="22"/>
              <w:numPr>
                <w:ilvl w:val="0"/>
                <w:numId w:val="8"/>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“定制公交”形成品牌，开通“夜市专线”或“景区接驳专线”。</w:t>
            </w:r>
          </w:p>
          <w:p>
            <w:pPr>
              <w:pStyle w:val="22"/>
              <w:numPr>
                <w:ilvl w:val="0"/>
                <w:numId w:val="8"/>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上线公交智能调度平台（覆盖80%线路），优化班次频次。</w:t>
            </w:r>
          </w:p>
          <w:p>
            <w:pPr>
              <w:pStyle w:val="22"/>
              <w:numPr>
                <w:ilvl w:val="0"/>
                <w:numId w:val="8"/>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继续大力拓展多元化延伸服务（如“农村客货邮融合”）。</w:t>
            </w:r>
          </w:p>
        </w:tc>
        <w:tc>
          <w:tcPr>
            <w:tcW w:w="3060"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□新能源公交车占比≥70%。</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□公交客运业务实现盈亏平衡（营收≥成本），出租车板块实现年度净盈利。</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□定制公交、农村客货邮等延伸服务营收≥50万元。</w:t>
            </w:r>
          </w:p>
        </w:tc>
        <w:tc>
          <w:tcPr>
            <w:tcW w:w="1735"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恒顺公司、企管部、财审部。（其他部门以及下属公司全力配合）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46" w:type="dxa"/>
            <w:vMerge w:val="continue"/>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p>
        </w:tc>
        <w:tc>
          <w:tcPr>
            <w:tcW w:w="1837"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资产盘活运营平台</w:t>
            </w:r>
          </w:p>
        </w:tc>
        <w:tc>
          <w:tcPr>
            <w:tcW w:w="5265" w:type="dxa"/>
            <w:noWrap w:val="0"/>
            <w:tcMar>
              <w:top w:w="-1" w:type="dxa"/>
              <w:left w:w="-1" w:type="dxa"/>
              <w:bottom w:w="-1" w:type="dxa"/>
              <w:right w:w="-1" w:type="dxa"/>
            </w:tcMar>
            <w:vAlign w:val="center"/>
          </w:tcPr>
          <w:p>
            <w:pPr>
              <w:pStyle w:val="22"/>
              <w:numPr>
                <w:ilvl w:val="0"/>
                <w:numId w:val="8"/>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资产盘活机制全面运行，制定《资产盘活标准化流程》，推广至所有存量资产。</w:t>
            </w:r>
          </w:p>
          <w:p>
            <w:pPr>
              <w:pStyle w:val="22"/>
              <w:numPr>
                <w:ilvl w:val="0"/>
                <w:numId w:val="8"/>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对50%以上老旧厂房/商铺开展基础维修改造（防水、电路升级），提高市场竞争力。</w:t>
            </w:r>
          </w:p>
          <w:p>
            <w:pPr>
              <w:pStyle w:val="22"/>
              <w:numPr>
                <w:ilvl w:val="0"/>
                <w:numId w:val="8"/>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资产盘活模式多元化，形成“租赁为主、合作为辅、改造升级为方向”的格局。</w:t>
            </w:r>
          </w:p>
          <w:p>
            <w:pPr>
              <w:pStyle w:val="22"/>
              <w:numPr>
                <w:ilvl w:val="0"/>
                <w:numId w:val="8"/>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恩平港项目进入实质性建设或运营准备阶段。</w:t>
            </w:r>
          </w:p>
          <w:p>
            <w:pPr>
              <w:pStyle w:val="22"/>
              <w:numPr>
                <w:ilvl w:val="0"/>
                <w:numId w:val="8"/>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上线功能更完善的资产数字化管理平台。</w:t>
            </w:r>
          </w:p>
          <w:p>
            <w:pPr>
              <w:pStyle w:val="22"/>
              <w:numPr>
                <w:ilvl w:val="0"/>
                <w:numId w:val="8"/>
              </w:num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探索1处存量资产（如闲置厂房）转型为养老、托幼等社区服务设施的可行性。</w:t>
            </w:r>
          </w:p>
        </w:tc>
        <w:tc>
          <w:tcPr>
            <w:tcW w:w="3060"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□资产整体盘活率提升至40%。</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□出租收入稳定在750万元以上。</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□恩平港项目公司成立或改造工程启动。</w:t>
            </w:r>
          </w:p>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□资产数字化管理平台正式推广运行。</w:t>
            </w:r>
          </w:p>
        </w:tc>
        <w:tc>
          <w:tcPr>
            <w:tcW w:w="1735" w:type="dxa"/>
            <w:noWrap w:val="0"/>
            <w:tcMar>
              <w:top w:w="-1" w:type="dxa"/>
              <w:left w:w="-1" w:type="dxa"/>
              <w:bottom w:w="-1" w:type="dxa"/>
              <w:right w:w="-1" w:type="dxa"/>
            </w:tcMar>
            <w:vAlign w:val="center"/>
          </w:tcPr>
          <w:p>
            <w:pPr>
              <w:snapToGrid w:val="0"/>
              <w:spacing w:line="240" w:lineRule="auto"/>
              <w:ind w:left="0" w:leftChars="0" w:right="0" w:rightChars="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企管部、诚睿公司、财审部、其他部门以及下属公司配合。</w:t>
            </w:r>
          </w:p>
        </w:tc>
      </w:tr>
    </w:tbl>
    <w:p>
      <w:pPr>
        <w:keepNext w:val="0"/>
        <w:keepLines w:val="0"/>
        <w:pageBreakBefore w:val="0"/>
        <w:widowControl w:val="0"/>
        <w:kinsoku/>
        <w:wordWrap/>
        <w:overflowPunct/>
        <w:topLinePunct w:val="0"/>
        <w:autoSpaceDE/>
        <w:autoSpaceDN/>
        <w:bidi w:val="0"/>
        <w:adjustRightInd/>
        <w:snapToGrid/>
        <w:spacing w:line="20" w:lineRule="exact"/>
        <w:ind w:left="0" w:leftChars="0" w:firstLine="0" w:firstLineChars="0"/>
        <w:textAlignment w:val="auto"/>
        <w:rPr>
          <w:rFonts w:hint="eastAsia" w:ascii="Times New Roman" w:hAnsi="Times New Roman" w:cs="Times New Roman"/>
        </w:rPr>
      </w:pPr>
    </w:p>
    <w:sectPr>
      <w:footerReference r:id="rId15" w:type="default"/>
      <w:pgSz w:w="16838" w:h="11906" w:orient="landscape"/>
      <w:pgMar w:top="1417" w:right="2098" w:bottom="1474" w:left="1984" w:header="851" w:footer="992" w:gutter="0"/>
      <w:cols w:space="0" w:num="1"/>
      <w:rtlGutter w:val="0"/>
      <w:docGrid w:type="lines" w:linePitch="44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56BF4C-B63B-4613-B4EB-B331D124058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61456DCD-758E-46AA-9687-0F4B038CC686}"/>
  </w:font>
  <w:font w:name="楷体_GB2312">
    <w:panose1 w:val="02010609030101010101"/>
    <w:charset w:val="86"/>
    <w:family w:val="modern"/>
    <w:pitch w:val="default"/>
    <w:sig w:usb0="00000001" w:usb1="080E0000" w:usb2="00000000" w:usb3="00000000" w:csb0="00040000" w:csb1="00000000"/>
    <w:embedRegular r:id="rId3" w:fontKey="{88E9C53F-1AEC-47F4-B43A-D884A057E1C0}"/>
  </w:font>
  <w:font w:name="方正小标宋_GBK">
    <w:panose1 w:val="02000000000000000000"/>
    <w:charset w:val="86"/>
    <w:family w:val="script"/>
    <w:pitch w:val="default"/>
    <w:sig w:usb0="A00002BF" w:usb1="38CF7CFA" w:usb2="00082016" w:usb3="00000000" w:csb0="00040001" w:csb1="00000000"/>
    <w:embedRegular r:id="rId4" w:fontKey="{53F6492C-1D25-4A57-92E7-047D28924E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keepNext w:val="0"/>
                            <w:keepLines w:val="0"/>
                            <w:pageBreakBefore w:val="0"/>
                            <w:widowControl w:val="0"/>
                            <w:kinsoku/>
                            <w:wordWrap/>
                            <w:overflowPunct/>
                            <w:topLinePunct w:val="0"/>
                            <w:bidi w:val="0"/>
                            <w:adjustRightInd/>
                            <w:snapToGrid w:val="0"/>
                            <w:ind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3"/>
                      <w:keepNext w:val="0"/>
                      <w:keepLines w:val="0"/>
                      <w:pageBreakBefore w:val="0"/>
                      <w:widowControl w:val="0"/>
                      <w:kinsoku/>
                      <w:wordWrap/>
                      <w:overflowPunct/>
                      <w:topLinePunct w:val="0"/>
                      <w:bidi w:val="0"/>
                      <w:adjustRightInd/>
                      <w:snapToGrid w:val="0"/>
                      <w:ind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3"/>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13"/>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3"/>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A46473"/>
    <w:multiLevelType w:val="multilevel"/>
    <w:tmpl w:val="91A46473"/>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A4B4AC98"/>
    <w:multiLevelType w:val="multilevel"/>
    <w:tmpl w:val="A4B4AC98"/>
    <w:lvl w:ilvl="0" w:tentative="0">
      <w:start w:val="1"/>
      <w:numFmt w:val="chineseCounting"/>
      <w:pStyle w:val="2"/>
      <w:suff w:val="nothing"/>
      <w:lvlText w:val="第%1章 "/>
      <w:lvlJc w:val="left"/>
      <w:pPr>
        <w:tabs>
          <w:tab w:val="left" w:pos="0"/>
        </w:tabs>
        <w:ind w:left="0" w:firstLine="0"/>
      </w:pPr>
      <w:rPr>
        <w:rFonts w:hint="eastAsia"/>
      </w:rPr>
    </w:lvl>
    <w:lvl w:ilvl="1" w:tentative="0">
      <w:start w:val="1"/>
      <w:numFmt w:val="chineseCounting"/>
      <w:pStyle w:val="3"/>
      <w:suff w:val="nothing"/>
      <w:lvlText w:val="%2、"/>
      <w:lvlJc w:val="left"/>
      <w:pPr>
        <w:tabs>
          <w:tab w:val="left" w:pos="0"/>
        </w:tabs>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2">
    <w:nsid w:val="AFF5AC44"/>
    <w:multiLevelType w:val="multilevel"/>
    <w:tmpl w:val="AFF5AC44"/>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0179ADF2"/>
    <w:multiLevelType w:val="multilevel"/>
    <w:tmpl w:val="0179ADF2"/>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0F8E6BE4"/>
    <w:multiLevelType w:val="multilevel"/>
    <w:tmpl w:val="0F8E6BE4"/>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2B6C1A89"/>
    <w:multiLevelType w:val="multilevel"/>
    <w:tmpl w:val="2B6C1A89"/>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35B19D46"/>
    <w:multiLevelType w:val="multilevel"/>
    <w:tmpl w:val="35B19D46"/>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595E3810"/>
    <w:multiLevelType w:val="multilevel"/>
    <w:tmpl w:val="595E3810"/>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4"/>
  </w:num>
  <w:num w:numId="3">
    <w:abstractNumId w:val="2"/>
  </w:num>
  <w:num w:numId="4">
    <w:abstractNumId w:val="6"/>
  </w:num>
  <w:num w:numId="5">
    <w:abstractNumId w:val="7"/>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22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50522"/>
    <w:rsid w:val="002C07FA"/>
    <w:rsid w:val="00326A4E"/>
    <w:rsid w:val="003A09A1"/>
    <w:rsid w:val="00416962"/>
    <w:rsid w:val="0042504B"/>
    <w:rsid w:val="00773004"/>
    <w:rsid w:val="00C376A9"/>
    <w:rsid w:val="00C72ADE"/>
    <w:rsid w:val="00EE61A9"/>
    <w:rsid w:val="00F76FFF"/>
    <w:rsid w:val="00F8253C"/>
    <w:rsid w:val="02F80BFA"/>
    <w:rsid w:val="034975DC"/>
    <w:rsid w:val="036A712A"/>
    <w:rsid w:val="056C119E"/>
    <w:rsid w:val="057F3106"/>
    <w:rsid w:val="079A28E1"/>
    <w:rsid w:val="08D772C4"/>
    <w:rsid w:val="0C144DBD"/>
    <w:rsid w:val="0CEA66E9"/>
    <w:rsid w:val="0D1F3FE4"/>
    <w:rsid w:val="134C478E"/>
    <w:rsid w:val="16EC71AC"/>
    <w:rsid w:val="19A0108D"/>
    <w:rsid w:val="1C2509D5"/>
    <w:rsid w:val="1D3E218A"/>
    <w:rsid w:val="1D9A259A"/>
    <w:rsid w:val="21B66868"/>
    <w:rsid w:val="261C3A67"/>
    <w:rsid w:val="264C54FF"/>
    <w:rsid w:val="275E288B"/>
    <w:rsid w:val="28217A51"/>
    <w:rsid w:val="28975675"/>
    <w:rsid w:val="2AA42467"/>
    <w:rsid w:val="2CBA531F"/>
    <w:rsid w:val="30DD2A72"/>
    <w:rsid w:val="31AB72B7"/>
    <w:rsid w:val="339064C2"/>
    <w:rsid w:val="351B0B66"/>
    <w:rsid w:val="370F13AE"/>
    <w:rsid w:val="377E6488"/>
    <w:rsid w:val="396106AD"/>
    <w:rsid w:val="3CBD0265"/>
    <w:rsid w:val="3D195B88"/>
    <w:rsid w:val="400A3D6D"/>
    <w:rsid w:val="411F4664"/>
    <w:rsid w:val="417D62D7"/>
    <w:rsid w:val="433D074A"/>
    <w:rsid w:val="4CB85428"/>
    <w:rsid w:val="4D4F0BA5"/>
    <w:rsid w:val="4E641518"/>
    <w:rsid w:val="4F104746"/>
    <w:rsid w:val="509757B8"/>
    <w:rsid w:val="50F9524E"/>
    <w:rsid w:val="53AA24CE"/>
    <w:rsid w:val="57650522"/>
    <w:rsid w:val="5B4F3BC4"/>
    <w:rsid w:val="5BAC530E"/>
    <w:rsid w:val="5C94494E"/>
    <w:rsid w:val="5F2E6734"/>
    <w:rsid w:val="5F700DD2"/>
    <w:rsid w:val="629303DC"/>
    <w:rsid w:val="63A33985"/>
    <w:rsid w:val="63BA2BDC"/>
    <w:rsid w:val="663849C4"/>
    <w:rsid w:val="66460803"/>
    <w:rsid w:val="69C61BD5"/>
    <w:rsid w:val="69FB7209"/>
    <w:rsid w:val="6D1772B7"/>
    <w:rsid w:val="6D5A7E7E"/>
    <w:rsid w:val="6DC4505B"/>
    <w:rsid w:val="6E351035"/>
    <w:rsid w:val="740117C0"/>
    <w:rsid w:val="762128AB"/>
    <w:rsid w:val="7D335CF6"/>
    <w:rsid w:val="7E895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eastAsia="仿宋_GB2312" w:asciiTheme="minorHAnsi" w:hAnsiTheme="minorHAnsi" w:cstheme="minorBidi"/>
      <w:kern w:val="2"/>
      <w:sz w:val="32"/>
      <w:szCs w:val="24"/>
      <w:lang w:val="en-US" w:eastAsia="zh-CN" w:bidi="ar-SA"/>
    </w:rPr>
  </w:style>
  <w:style w:type="paragraph" w:styleId="2">
    <w:name w:val="heading 1"/>
    <w:basedOn w:val="1"/>
    <w:next w:val="1"/>
    <w:qFormat/>
    <w:uiPriority w:val="0"/>
    <w:pPr>
      <w:numPr>
        <w:ilvl w:val="0"/>
        <w:numId w:val="1"/>
      </w:numPr>
      <w:spacing w:before="50" w:beforeLines="50" w:after="50" w:afterLines="50"/>
      <w:ind w:firstLineChars="0"/>
      <w:jc w:val="center"/>
      <w:outlineLvl w:val="0"/>
    </w:pPr>
    <w:rPr>
      <w:rFonts w:hint="eastAsia" w:ascii="宋体" w:hAnsi="宋体" w:eastAsia="黑体" w:cs="Times New Roman"/>
      <w:bCs/>
      <w:kern w:val="44"/>
      <w:szCs w:val="48"/>
    </w:rPr>
  </w:style>
  <w:style w:type="paragraph" w:styleId="3">
    <w:name w:val="heading 2"/>
    <w:basedOn w:val="1"/>
    <w:next w:val="1"/>
    <w:link w:val="21"/>
    <w:unhideWhenUsed/>
    <w:qFormat/>
    <w:uiPriority w:val="0"/>
    <w:pPr>
      <w:numPr>
        <w:ilvl w:val="1"/>
        <w:numId w:val="1"/>
      </w:numPr>
      <w:spacing w:before="50" w:beforeLines="50" w:after="50" w:afterLines="50"/>
      <w:ind w:firstLineChars="0"/>
      <w:outlineLvl w:val="1"/>
    </w:pPr>
    <w:rPr>
      <w:rFonts w:hint="eastAsia" w:ascii="宋体" w:hAnsi="宋体" w:eastAsia="楷体_GB2312" w:cs="Times New Roman"/>
      <w:b/>
      <w:bCs/>
      <w:kern w:val="0"/>
      <w:szCs w:val="36"/>
      <w14:ligatures w14:val="standardContextual"/>
    </w:rPr>
  </w:style>
  <w:style w:type="paragraph" w:styleId="4">
    <w:name w:val="heading 3"/>
    <w:basedOn w:val="1"/>
    <w:next w:val="1"/>
    <w:unhideWhenUsed/>
    <w:qFormat/>
    <w:uiPriority w:val="0"/>
    <w:pPr>
      <w:numPr>
        <w:ilvl w:val="2"/>
        <w:numId w:val="1"/>
      </w:numPr>
      <w:spacing w:beforeAutospacing="1" w:afterAutospacing="1"/>
      <w:ind w:firstLineChars="0"/>
      <w:outlineLvl w:val="2"/>
    </w:pPr>
    <w:rPr>
      <w:rFonts w:hint="eastAsia" w:ascii="宋体" w:hAnsi="宋体" w:cs="Times New Roman"/>
      <w:b/>
      <w:bCs/>
      <w:kern w:val="0"/>
      <w:szCs w:val="27"/>
    </w:rPr>
  </w:style>
  <w:style w:type="paragraph" w:styleId="5">
    <w:name w:val="heading 4"/>
    <w:basedOn w:val="1"/>
    <w:next w:val="1"/>
    <w:semiHidden/>
    <w:unhideWhenUsed/>
    <w:qFormat/>
    <w:uiPriority w:val="0"/>
    <w:pPr>
      <w:numPr>
        <w:ilvl w:val="3"/>
        <w:numId w:val="1"/>
      </w:numPr>
      <w:spacing w:beforeAutospacing="1" w:afterAutospacing="1"/>
      <w:ind w:firstLineChars="0"/>
      <w:outlineLvl w:val="3"/>
    </w:pPr>
    <w:rPr>
      <w:rFonts w:hint="eastAsia" w:ascii="宋体" w:hAnsi="宋体" w:cs="Times New Roman"/>
      <w:bCs/>
      <w:kern w:val="0"/>
    </w:rPr>
  </w:style>
  <w:style w:type="paragraph" w:styleId="6">
    <w:name w:val="heading 5"/>
    <w:basedOn w:val="1"/>
    <w:next w:val="1"/>
    <w:semiHidden/>
    <w:unhideWhenUsed/>
    <w:qFormat/>
    <w:uiPriority w:val="0"/>
    <w:pPr>
      <w:keepNext/>
      <w:keepLines/>
      <w:numPr>
        <w:ilvl w:val="4"/>
        <w:numId w:val="1"/>
      </w:numPr>
      <w:spacing w:before="280" w:after="290" w:line="372" w:lineRule="auto"/>
      <w:ind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after="64" w:line="317" w:lineRule="auto"/>
      <w:ind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after="64" w:line="317" w:lineRule="auto"/>
      <w:ind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after="64" w:line="317" w:lineRule="auto"/>
      <w:ind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after="64" w:line="317" w:lineRule="auto"/>
      <w:ind w:firstLineChars="0"/>
      <w:outlineLvl w:val="8"/>
    </w:pPr>
    <w:rPr>
      <w:rFonts w:ascii="Arial" w:hAnsi="Arial" w:eastAsia="黑体"/>
      <w:sz w:val="21"/>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0"/>
    <w:pPr>
      <w:jc w:val="center"/>
    </w:pPr>
    <w:rPr>
      <w:sz w:val="24"/>
    </w:rPr>
  </w:style>
  <w:style w:type="paragraph" w:styleId="12">
    <w:name w:val="toc 3"/>
    <w:basedOn w:val="1"/>
    <w:next w:val="1"/>
    <w:qFormat/>
    <w:uiPriority w:val="0"/>
    <w:pPr>
      <w:ind w:left="840" w:leftChars="4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5">
    <w:name w:val="toc 1"/>
    <w:basedOn w:val="1"/>
    <w:next w:val="1"/>
    <w:qFormat/>
    <w:uiPriority w:val="0"/>
  </w:style>
  <w:style w:type="paragraph" w:styleId="16">
    <w:name w:val="toc 2"/>
    <w:basedOn w:val="1"/>
    <w:next w:val="1"/>
    <w:qFormat/>
    <w:uiPriority w:val="0"/>
    <w:pPr>
      <w:ind w:left="420" w:left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customStyle="1" w:styleId="21">
    <w:name w:val="标题 2 字符"/>
    <w:basedOn w:val="19"/>
    <w:link w:val="3"/>
    <w:qFormat/>
    <w:uiPriority w:val="9"/>
    <w:rPr>
      <w:rFonts w:ascii="Times New Roman" w:hAnsi="Times New Roman" w:eastAsia="楷体_GB2312" w:cstheme="majorBidi"/>
      <w:b/>
      <w:sz w:val="32"/>
      <w:szCs w:val="40"/>
      <w14:ligatures w14:val="standardContextual"/>
    </w:rPr>
  </w:style>
  <w:style w:type="paragraph" w:styleId="22">
    <w:name w:val="List Paragraph"/>
    <w:basedOn w:val="1"/>
    <w:unhideWhenUsed/>
    <w:qFormat/>
    <w:uiPriority w:val="34"/>
    <w:pPr>
      <w:ind w:firstLine="420"/>
    </w:pPr>
  </w:style>
  <w:style w:type="paragraph" w:customStyle="1" w:styleId="23">
    <w:name w:val="Revision"/>
    <w:hidden/>
    <w:unhideWhenUsed/>
    <w:qFormat/>
    <w:uiPriority w:val="99"/>
    <w:rPr>
      <w:rFonts w:eastAsia="仿宋_GB2312" w:asciiTheme="minorHAnsi" w:hAnsiTheme="minorHAnsi" w:cstheme="minorBidi"/>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66</Pages>
  <Words>29998</Words>
  <Characters>30655</Characters>
  <Lines>82</Lines>
  <Paragraphs>23</Paragraphs>
  <TotalTime>12</TotalTime>
  <ScaleCrop>false</ScaleCrop>
  <LinksUpToDate>false</LinksUpToDate>
  <CharactersWithSpaces>30786</CharactersWithSpaces>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2026-02-27T06:16:00Z</dcterms:created>
  <dc:creator>半半</dc:creator>
  <cp:lastModifiedBy>Administrator</cp:lastModifiedBy>
  <dcterms:modified xsi:type="dcterms:W3CDTF">2026-08-05T06:54:30Z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35FA066F52B6484580C52711028FD555_13</vt:lpwstr>
  </property>
  <property fmtid="{D5CDD505-2E9C-101B-9397-08002B2CF9AE}" pid="4" name="KSOTemplateDocerSaveRecord">
    <vt:lpwstr>eyJoZGlkIjoiZWQ0OTYxZGYyMDZlYTQxNDM0MTEzNjUwZjBmZTI3MTAiLCJ1c2VySWQiOiIyMzEwODI3MjUifQ==</vt:lpwstr>
  </property>
</Properties>
</file>