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75483">
      <w:pP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附件：</w:t>
      </w:r>
    </w:p>
    <w:p w14:paraId="5A06F7D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恩平市整县推进鱼塘尾水治理项目可行性研究报告编制服务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评分表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86"/>
        <w:gridCol w:w="1524"/>
        <w:gridCol w:w="1260"/>
        <w:gridCol w:w="9700"/>
      </w:tblGrid>
      <w:tr w14:paraId="671A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F0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评分大类</w:t>
            </w:r>
          </w:p>
        </w:tc>
        <w:tc>
          <w:tcPr>
            <w:tcW w:w="15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B3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评分子项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8FB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分值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40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评分细则及佐证材料要求</w:t>
            </w:r>
          </w:p>
        </w:tc>
      </w:tr>
      <w:tr w14:paraId="30D71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390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一、项目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申报书</w:t>
            </w:r>
          </w:p>
        </w:tc>
        <w:tc>
          <w:tcPr>
            <w:tcW w:w="15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1BD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申报书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AA4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9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B29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1.申报书内容完整、技术方案详细可行、编制思路清晰、方法科学、进度安排合理，完全响应项目需求，得28-35分；</w:t>
            </w:r>
          </w:p>
          <w:p w14:paraId="098C0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rPr>
                <w:rFonts w:ascii="宋体" w:hAnsi="宋体" w:eastAsia="宋体"/>
                <w:sz w:val="21"/>
              </w:rPr>
              <w:t>2.申报书内容较完整、技术方案基本可行、编制思路较清晰，基本响应项目需求，得18-27分；</w:t>
            </w:r>
          </w:p>
          <w:p w14:paraId="436A3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rPr>
                <w:rFonts w:ascii="宋体" w:hAnsi="宋体" w:eastAsia="宋体"/>
                <w:sz w:val="21"/>
              </w:rPr>
              <w:t>3.申报书内容不够完整、技术方案一般、部分响应项目需求，得10-17分；</w:t>
            </w:r>
          </w:p>
          <w:p w14:paraId="7F734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rPr>
                <w:rFonts w:ascii="宋体" w:hAnsi="宋体" w:eastAsia="宋体"/>
                <w:sz w:val="21"/>
              </w:rPr>
              <w:t>4.完全无法响应本项目编制需求、无完整申报书，本项得0分。</w:t>
            </w:r>
          </w:p>
          <w:p w14:paraId="2D6B3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佐证：加盖公章完整技术服务申报书。</w:t>
            </w:r>
          </w:p>
        </w:tc>
      </w:tr>
      <w:tr w14:paraId="00188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97CE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企业资质</w:t>
            </w:r>
          </w:p>
          <w:p w14:paraId="433588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4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35AA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专项技术资质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A73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9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A1D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1.具备城乡规划乙级/水利灌溉排涝/水土保持乙级/水污染防治工程设计乙级及以上任一资质，得5分；</w:t>
            </w:r>
          </w:p>
          <w:p w14:paraId="5B109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rPr>
                <w:rFonts w:ascii="宋体" w:hAnsi="宋体" w:eastAsia="宋体"/>
                <w:sz w:val="21"/>
              </w:rPr>
              <w:t>2.同时具备上述两项及以上资质的，得10分；</w:t>
            </w:r>
          </w:p>
          <w:p w14:paraId="36EBC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rPr>
                <w:rFonts w:ascii="宋体" w:hAnsi="宋体" w:eastAsia="宋体"/>
                <w:sz w:val="21"/>
              </w:rPr>
              <w:t>3.无对应资质不得分。</w:t>
            </w:r>
          </w:p>
          <w:p w14:paraId="256EA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佐证：有效期内资质证书复印件、营业执照经营范围、法定代表人身份证复印件等佐证。</w:t>
            </w:r>
          </w:p>
        </w:tc>
      </w:tr>
      <w:tr w14:paraId="21453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7" w:hRule="atLeast"/>
          <w:jc w:val="center"/>
        </w:trPr>
        <w:tc>
          <w:tcPr>
            <w:tcW w:w="16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168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、项目团队配置</w:t>
            </w:r>
          </w:p>
        </w:tc>
        <w:tc>
          <w:tcPr>
            <w:tcW w:w="15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3F6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项目负责人+专业技术团队配置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91A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9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786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1.项目负责人具备规划/水利/环境中级及以上职称，且持有水产养殖尾水治理同类可研编制业绩；配备专职水产、水环境、规划、造价专职技术人员，团队架构完整，得10分；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2.项目负责人无对应职称或无同类项目经验扣6分；团队缺少专职技术人员，扣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佐证：职称证书、项目负责人业绩合同、团队人员简历。</w:t>
            </w:r>
          </w:p>
        </w:tc>
      </w:tr>
      <w:tr w14:paraId="3C17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C9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、同类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业绩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</w:p>
        </w:tc>
        <w:tc>
          <w:tcPr>
            <w:tcW w:w="15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8B7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同类项目业绩</w:t>
            </w:r>
          </w:p>
          <w:p w14:paraId="74EE6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62E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9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A45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1.近3年内每提供1份县级及以上水产养殖尾水治理可研、养殖水域滩涂规划、农业面源污染治理可研编制合同，得5分，本项最高15分；</w:t>
            </w:r>
          </w:p>
          <w:p w14:paraId="584D6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rPr>
                <w:rFonts w:ascii="宋体" w:hAnsi="宋体" w:eastAsia="宋体"/>
                <w:sz w:val="21"/>
              </w:rPr>
              <w:t>2.提供的项目业绩需与本项目性质、规模相匹配，业绩规模明显小于本项目的酌情扣分；</w:t>
            </w:r>
          </w:p>
          <w:p w14:paraId="21F16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rPr>
                <w:rFonts w:ascii="宋体" w:hAnsi="宋体" w:eastAsia="宋体"/>
                <w:sz w:val="21"/>
              </w:rPr>
              <w:t>注：仅提供合同复印件（含项目名称、服务内容页）有效，与本单位签订合同不计入统计。</w:t>
            </w:r>
          </w:p>
          <w:p w14:paraId="340D5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佐证：项目合同关键页复印件（加盖公章）。</w:t>
            </w:r>
          </w:p>
        </w:tc>
      </w:tr>
      <w:tr w14:paraId="3A25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93" w:hRule="atLeast"/>
          <w:jc w:val="center"/>
        </w:trPr>
        <w:tc>
          <w:tcPr>
            <w:tcW w:w="16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5F2A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五、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投标报价</w:t>
            </w:r>
          </w:p>
          <w:p w14:paraId="72C37D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41D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投标报价得分计算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D76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9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05AB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评标基准价：通过符合性审查且报价不超18万元最高限价的最低有效报价；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2.最低价得满分30分；其余投标人价格得分计算公式：价格得分 =(评标基准价÷投标人投标报价)×30；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3.报价超出18万元最高限价作无效投标处理。</w:t>
            </w:r>
          </w:p>
          <w:p w14:paraId="4457B8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</w:rPr>
              <w:t>佐证：</w:t>
            </w:r>
            <w:r>
              <w:rPr>
                <w:rFonts w:hint="eastAsia" w:ascii="宋体" w:hAnsi="宋体" w:eastAsia="宋体"/>
                <w:sz w:val="21"/>
                <w:lang w:val="en-US" w:eastAsia="zh-CN"/>
              </w:rPr>
              <w:t>项目报价明细表</w:t>
            </w:r>
            <w:r>
              <w:rPr>
                <w:rFonts w:ascii="宋体" w:hAnsi="宋体" w:eastAsia="宋体"/>
                <w:sz w:val="21"/>
              </w:rPr>
              <w:t>（加盖公章）。</w:t>
            </w:r>
          </w:p>
        </w:tc>
      </w:tr>
      <w:tr w14:paraId="5774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D03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综合评审定标规则</w:t>
            </w:r>
          </w:p>
        </w:tc>
        <w:tc>
          <w:tcPr>
            <w:tcW w:w="15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ABC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综合评分排序规则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5F7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—</w:t>
            </w:r>
          </w:p>
        </w:tc>
        <w:tc>
          <w:tcPr>
            <w:tcW w:w="9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EE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1.按综合总分由高至低排序，综合评分最高者原则上推荐为成交供应商；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2.若综合评分相同，以投标报价更低者优先推荐；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3.综合得分、报价均一致的，以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申报书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完整性、项目团队实力择优确定。</w:t>
            </w:r>
          </w:p>
        </w:tc>
      </w:tr>
      <w:tr w14:paraId="37AC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F62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低价异常评审条款</w:t>
            </w:r>
          </w:p>
        </w:tc>
        <w:tc>
          <w:tcPr>
            <w:tcW w:w="15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87A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低于成本报价处置规则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F21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—</w:t>
            </w:r>
          </w:p>
        </w:tc>
        <w:tc>
          <w:tcPr>
            <w:tcW w:w="9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DAD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审小组认定投标人报价显著低于其他有效投标人，存在无法保障报告编制质量、不能履约风险的，应当要求投标人提交书面成本说明、人力监测、图纸编制等费用佐证材料；投标人无法合理解释报价合理性的，直接按无效投标处理。</w:t>
            </w:r>
          </w:p>
        </w:tc>
      </w:tr>
      <w:tr w14:paraId="6650A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21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99F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77A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699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0EE4C6E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8BF8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886A4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886A4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24AE57"/>
    <w:multiLevelType w:val="singleLevel"/>
    <w:tmpl w:val="4924AE5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A26BDB"/>
    <w:rsid w:val="121A73FA"/>
    <w:rsid w:val="291D4981"/>
    <w:rsid w:val="30D35348"/>
    <w:rsid w:val="52F543A6"/>
    <w:rsid w:val="5C69772C"/>
    <w:rsid w:val="60A26BDB"/>
    <w:rsid w:val="642E3A3E"/>
    <w:rsid w:val="6E5C1FF2"/>
    <w:rsid w:val="798A5F42"/>
    <w:rsid w:val="7DD2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1072</Words>
  <Characters>1116</Characters>
  <Lines>0</Lines>
  <Paragraphs>0</Paragraphs>
  <TotalTime>4</TotalTime>
  <ScaleCrop>false</ScaleCrop>
  <LinksUpToDate>false</LinksUpToDate>
  <CharactersWithSpaces>1117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2026-08-04T01:00:00Z</dcterms:created>
  <dc:creator>511387875832</dc:creator>
  <cp:lastModifiedBy>511387875832</cp:lastModifiedBy>
  <dcterms:modified xsi:type="dcterms:W3CDTF">2026-08-04T02:10:49Z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67B9345183744430A089AAD3DAEC2C24_11</vt:lpwstr>
  </property>
  <property fmtid="{D5CDD505-2E9C-101B-9397-08002B2CF9AE}" pid="4" name="KSOTemplateDocerSaveRecord">
    <vt:lpwstr>eyJoZGlkIjoiOTkxYjkyNzJhNTQ0NzY0MjAwMWM3YmE1YmJiM2MzYTciLCJ1c2VySWQiOiI5OTA0MTY1In0=</vt:lpwstr>
  </property>
</Properties>
</file>