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E6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700" w:lineRule="exact"/>
        <w:jc w:val="center"/>
        <w:textAlignment w:val="auto"/>
        <w:rPr>
          <w:rFonts w:hint="eastAsia" w:ascii="宋体" w:hAnsi="宋体" w:eastAsia="方正小标宋简体"/>
          <w:bCs/>
          <w:kern w:val="0"/>
          <w:sz w:val="44"/>
          <w:szCs w:val="44"/>
          <w:lang w:eastAsia="zh-CN"/>
        </w:rPr>
      </w:pPr>
      <w:r>
        <w:rPr>
          <w:rFonts w:hint="eastAsia" w:ascii="宋体" w:hAnsi="宋体" w:eastAsia="方正小标宋简体"/>
          <w:bCs/>
          <w:kern w:val="0"/>
          <w:sz w:val="44"/>
          <w:szCs w:val="44"/>
        </w:rPr>
        <w:t>恩平市烟花爆竹经营（零售）</w:t>
      </w:r>
      <w:r>
        <w:rPr>
          <w:rFonts w:hint="eastAsia" w:ascii="宋体" w:hAnsi="宋体" w:eastAsia="方正小标宋简体"/>
          <w:color w:val="000000"/>
          <w:sz w:val="44"/>
          <w:szCs w:val="44"/>
        </w:rPr>
        <w:t>布点规划方案</w:t>
      </w:r>
    </w:p>
    <w:p w14:paraId="637999FF">
      <w:pPr>
        <w:pStyle w:val="51"/>
        <w:widowControl w:val="0"/>
        <w:adjustRightInd w:val="0"/>
        <w:snapToGrid w:val="0"/>
        <w:spacing w:line="600" w:lineRule="exact"/>
        <w:jc w:val="center"/>
        <w:rPr>
          <w:rFonts w:hint="eastAsia" w:ascii="宋体" w:hAnsi="宋体" w:eastAsia="楷体_GB2312" w:cs="楷体_GB2312"/>
          <w:sz w:val="32"/>
          <w:szCs w:val="32"/>
          <w:lang w:eastAsia="zh-CN"/>
        </w:rPr>
      </w:pPr>
      <w:r>
        <w:rPr>
          <w:rFonts w:hint="eastAsia" w:ascii="宋体" w:hAnsi="宋体" w:eastAsia="方正小标宋简体"/>
          <w:bCs/>
          <w:kern w:val="0"/>
          <w:sz w:val="44"/>
          <w:szCs w:val="44"/>
          <w:lang w:eastAsia="zh-CN"/>
        </w:rPr>
        <w:t>（</w:t>
      </w:r>
      <w:r>
        <w:rPr>
          <w:rFonts w:hint="eastAsia" w:ascii="宋体" w:hAnsi="宋体" w:eastAsia="方正小标宋简体"/>
          <w:bCs/>
          <w:kern w:val="0"/>
          <w:sz w:val="44"/>
          <w:szCs w:val="44"/>
          <w:lang w:val="en-US" w:eastAsia="zh-CN"/>
        </w:rPr>
        <w:t>2026年版</w:t>
      </w:r>
      <w:r>
        <w:rPr>
          <w:rFonts w:hint="eastAsia" w:ascii="宋体" w:hAnsi="宋体" w:eastAsia="方正小标宋简体"/>
          <w:bCs/>
          <w:kern w:val="0"/>
          <w:sz w:val="44"/>
          <w:szCs w:val="44"/>
          <w:lang w:eastAsia="zh-CN"/>
        </w:rPr>
        <w:t>）</w:t>
      </w:r>
      <w:r>
        <w:rPr>
          <w:rFonts w:hint="eastAsia" w:ascii="宋体" w:hAnsi="宋体" w:eastAsia="方正小标宋简体"/>
          <w:bCs/>
          <w:kern w:val="0"/>
          <w:sz w:val="44"/>
          <w:szCs w:val="44"/>
          <w:lang w:val="en-US" w:eastAsia="zh-CN"/>
        </w:rPr>
        <w:t>（征求意见稿）</w:t>
      </w:r>
    </w:p>
    <w:p w14:paraId="1F349EA5">
      <w:pPr>
        <w:pStyle w:val="51"/>
        <w:widowControl w:val="0"/>
        <w:adjustRightInd w:val="0"/>
        <w:snapToGrid w:val="0"/>
        <w:spacing w:line="600" w:lineRule="exact"/>
        <w:jc w:val="both"/>
        <w:rPr>
          <w:rFonts w:hint="eastAsia" w:ascii="宋体" w:hAnsi="宋体" w:eastAsia="仿宋_GB2312" w:cs="仿宋"/>
          <w:sz w:val="32"/>
          <w:szCs w:val="32"/>
          <w:lang w:eastAsia="zh-CN"/>
        </w:rPr>
      </w:pPr>
    </w:p>
    <w:p w14:paraId="2B7B2DB8">
      <w:pPr>
        <w:spacing w:line="560" w:lineRule="exact"/>
        <w:ind w:firstLine="636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为进一步规范我市烟花爆竹经营市场秩序，加强烟花爆竹经营（零售）安全管理工作，推动烟花爆竹行业规范、安全发展，根据《烟花爆竹安全管理条例》（国务院令第455号）、《烟花爆竹经营许可实施办法》（原国家安全生产监督管理总局令第65号）、《广东省安全生产监督管理局关于烟花爆竹经营许可的实施细则》（粤安监〔2014〕44号）及《烟花爆竹零售店（点）安全技术规范》（AQ 4128—2019）等法律法规规定，结合我市烟花爆竹经营现状，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制定本方案</w:t>
      </w:r>
      <w:r>
        <w:rPr>
          <w:rFonts w:hint="eastAsia" w:ascii="宋体" w:hAnsi="宋体" w:eastAsia="仿宋_GB2312"/>
          <w:sz w:val="32"/>
          <w:szCs w:val="32"/>
        </w:rPr>
        <w:t>。</w:t>
      </w:r>
    </w:p>
    <w:p w14:paraId="7F08CE26">
      <w:pPr>
        <w:spacing w:line="560" w:lineRule="exact"/>
        <w:ind w:firstLine="636" w:firstLineChars="200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t>一、</w:t>
      </w:r>
      <w:r>
        <w:rPr>
          <w:rFonts w:hint="eastAsia" w:ascii="宋体" w:hAnsi="宋体" w:eastAsia="黑体"/>
          <w:sz w:val="32"/>
          <w:szCs w:val="32"/>
        </w:rPr>
        <w:t>布点</w:t>
      </w:r>
      <w:r>
        <w:rPr>
          <w:rFonts w:hint="eastAsia" w:ascii="宋体" w:hAnsi="宋体" w:eastAsia="黑体"/>
          <w:sz w:val="32"/>
          <w:szCs w:val="32"/>
          <w:lang w:val="en-US" w:eastAsia="zh-CN"/>
        </w:rPr>
        <w:t>规划</w:t>
      </w:r>
      <w:r>
        <w:rPr>
          <w:rFonts w:ascii="宋体" w:hAnsi="宋体" w:eastAsia="黑体"/>
          <w:sz w:val="32"/>
          <w:szCs w:val="32"/>
        </w:rPr>
        <w:t>原则</w:t>
      </w:r>
    </w:p>
    <w:p w14:paraId="5CE19A2E">
      <w:pPr>
        <w:spacing w:line="560" w:lineRule="exact"/>
        <w:ind w:firstLine="636" w:firstLineChars="200"/>
        <w:rPr>
          <w:rFonts w:ascii="宋体" w:hAnsi="宋体" w:eastAsia="仿宋_GB2312"/>
          <w:b w:val="0"/>
          <w:bCs w:val="0"/>
          <w:sz w:val="32"/>
          <w:szCs w:val="32"/>
        </w:rPr>
      </w:pPr>
      <w:r>
        <w:rPr>
          <w:rFonts w:ascii="宋体" w:hAnsi="宋体" w:eastAsia="仿宋_GB2312"/>
          <w:b w:val="0"/>
          <w:bCs w:val="0"/>
          <w:sz w:val="32"/>
          <w:szCs w:val="32"/>
        </w:rPr>
        <w:t>坚持“安全第一，预防为主，综合治理”的方针，按照“保障安全、统一规划、合理布局、总量控制、适度竞争”的原则，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综合考虑人口密集程度、市场实际需求情况，按照便民利民、方便群众购买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，同时防止零售布点密度过大、形成连片市场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原则，</w:t>
      </w:r>
      <w:r>
        <w:rPr>
          <w:rFonts w:ascii="宋体" w:hAnsi="宋体" w:eastAsia="仿宋_GB2312"/>
          <w:b w:val="0"/>
          <w:bCs w:val="0"/>
          <w:sz w:val="32"/>
          <w:szCs w:val="32"/>
        </w:rPr>
        <w:t>科学合理布点规划，夯实烟花爆竹零售网点安全基础性工作，构建烟花爆竹安全生产工作长效机制。</w:t>
      </w:r>
    </w:p>
    <w:p w14:paraId="37C67137">
      <w:pPr>
        <w:spacing w:line="560" w:lineRule="exact"/>
        <w:ind w:firstLine="636" w:firstLineChars="200"/>
        <w:rPr>
          <w:rFonts w:hint="eastAsia" w:ascii="宋体" w:hAnsi="宋体" w:eastAsia="黑体"/>
          <w:b w:val="0"/>
          <w:bCs w:val="0"/>
          <w:sz w:val="32"/>
          <w:szCs w:val="32"/>
          <w:lang w:val="en-US" w:eastAsia="zh-CN"/>
        </w:rPr>
      </w:pPr>
      <w:r>
        <w:rPr>
          <w:rFonts w:ascii="宋体" w:hAnsi="宋体" w:eastAsia="黑体"/>
          <w:b w:val="0"/>
          <w:bCs w:val="0"/>
          <w:sz w:val="32"/>
          <w:szCs w:val="32"/>
        </w:rPr>
        <w:t>二、</w:t>
      </w:r>
      <w:r>
        <w:rPr>
          <w:rFonts w:hint="eastAsia" w:ascii="宋体" w:hAnsi="宋体" w:eastAsia="黑体"/>
          <w:b w:val="0"/>
          <w:bCs w:val="0"/>
          <w:sz w:val="32"/>
          <w:szCs w:val="32"/>
          <w:lang w:val="en-US" w:eastAsia="zh-CN"/>
        </w:rPr>
        <w:t>布点</w:t>
      </w:r>
      <w:r>
        <w:rPr>
          <w:rFonts w:ascii="宋体" w:hAnsi="宋体" w:eastAsia="黑体"/>
          <w:b w:val="0"/>
          <w:bCs w:val="0"/>
          <w:sz w:val="32"/>
          <w:szCs w:val="32"/>
        </w:rPr>
        <w:t>规划</w:t>
      </w:r>
      <w:r>
        <w:rPr>
          <w:rFonts w:hint="eastAsia" w:ascii="宋体" w:hAnsi="宋体" w:eastAsia="黑体"/>
          <w:b w:val="0"/>
          <w:bCs w:val="0"/>
          <w:sz w:val="32"/>
          <w:szCs w:val="32"/>
          <w:lang w:val="en-US" w:eastAsia="zh-CN"/>
        </w:rPr>
        <w:t>要求</w:t>
      </w:r>
    </w:p>
    <w:p w14:paraId="308A4017">
      <w:pPr>
        <w:spacing w:line="560" w:lineRule="exact"/>
        <w:ind w:firstLine="636" w:firstLineChars="200"/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严控布点数量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。</w:t>
      </w:r>
      <w:r>
        <w:rPr>
          <w:rFonts w:ascii="宋体" w:hAnsi="宋体" w:eastAsia="仿宋_GB2312"/>
          <w:b w:val="0"/>
          <w:bCs w:val="0"/>
          <w:sz w:val="32"/>
          <w:szCs w:val="32"/>
        </w:rPr>
        <w:t>根据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“保障安全，统一规划，合理布局、总量控制”</w:t>
      </w:r>
      <w:r>
        <w:rPr>
          <w:rFonts w:ascii="宋体" w:hAnsi="宋体" w:eastAsia="仿宋_GB2312"/>
          <w:b w:val="0"/>
          <w:bCs w:val="0"/>
          <w:sz w:val="32"/>
          <w:szCs w:val="32"/>
        </w:rPr>
        <w:t>的原则，综合各镇（街）的人口分布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、地理条件、交通条件</w:t>
      </w:r>
      <w:r>
        <w:rPr>
          <w:rFonts w:ascii="宋体" w:hAnsi="宋体" w:eastAsia="仿宋_GB2312"/>
          <w:sz w:val="32"/>
          <w:szCs w:val="32"/>
        </w:rPr>
        <w:t>以及近年烟花爆竹（零售）经营许可情况等因素，确定全市烟花爆竹零售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店（</w:t>
      </w:r>
      <w:r>
        <w:rPr>
          <w:rFonts w:ascii="宋体" w:hAnsi="宋体" w:eastAsia="仿宋_GB2312"/>
          <w:sz w:val="32"/>
          <w:szCs w:val="32"/>
        </w:rPr>
        <w:t>点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）</w:t>
      </w:r>
      <w:r>
        <w:rPr>
          <w:rFonts w:ascii="宋体" w:hAnsi="宋体" w:eastAsia="仿宋_GB2312"/>
          <w:sz w:val="32"/>
          <w:szCs w:val="32"/>
        </w:rPr>
        <w:t>总量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为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35</w:t>
      </w:r>
      <w:r>
        <w:rPr>
          <w:rFonts w:ascii="宋体" w:hAnsi="宋体" w:eastAsia="仿宋_GB2312"/>
          <w:sz w:val="32"/>
          <w:szCs w:val="32"/>
        </w:rPr>
        <w:t>家</w:t>
      </w:r>
      <w:r>
        <w:rPr>
          <w:rFonts w:hint="eastAsia" w:ascii="宋体" w:hAnsi="宋体" w:eastAsia="仿宋_GB2312"/>
          <w:sz w:val="32"/>
          <w:szCs w:val="32"/>
        </w:rPr>
        <w:t>（详见附件《</w:t>
      </w:r>
      <w:r>
        <w:rPr>
          <w:rFonts w:ascii="宋体" w:hAnsi="宋体" w:eastAsia="仿宋_GB2312"/>
          <w:sz w:val="32"/>
          <w:szCs w:val="32"/>
        </w:rPr>
        <w:t>恩平市烟花爆竹零售点总体控制数量指标</w:t>
      </w:r>
      <w:r>
        <w:rPr>
          <w:rFonts w:hint="eastAsia" w:ascii="宋体" w:hAnsi="宋体" w:eastAsia="仿宋_GB2312"/>
          <w:sz w:val="32"/>
          <w:szCs w:val="32"/>
        </w:rPr>
        <w:t>》）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 w14:paraId="34E5B40A">
      <w:pPr>
        <w:spacing w:line="560" w:lineRule="exact"/>
        <w:ind w:firstLine="636" w:firstLineChars="200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（二）禁止销售区域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。以下范围不布设烟花爆竹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零售</w:t>
      </w:r>
      <w:r>
        <w:rPr>
          <w:rFonts w:hint="eastAsia" w:eastAsia="仿宋_GB2312" w:cs="Times New Roman"/>
          <w:kern w:val="2"/>
          <w:sz w:val="32"/>
          <w:szCs w:val="32"/>
        </w:rPr>
        <w:t>店（点）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：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一是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恩平市烟花爆竹禁销区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恩平市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中心城区建成区）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内；二是锦江大道、发展大道两侧100米范围、恩平大道与沈海高速公路间地块；三是沙湖圩、牛江圩、君堂圩、圣堂圩、良西圩、东成圩、大田圩、朗底圩、横陂圩、大槐圩、那吉圩，大槐聚集区、六家冲工业区，以及旅游景区范围内；四是</w:t>
      </w:r>
      <w:r>
        <w:rPr>
          <w:rFonts w:hint="eastAsia" w:eastAsia="仿宋_GB2312" w:cs="Times New Roman"/>
          <w:kern w:val="2"/>
          <w:sz w:val="32"/>
          <w:szCs w:val="32"/>
        </w:rPr>
        <w:t>学校、医院、幼儿园、养老院、集贸市场、文物古迹、博物馆、展览馆、档案馆、图书馆等人员密集场所、重点建筑物，危险品生产、储存及加油站、加气站等易燃易爆场所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kern w:val="2"/>
          <w:sz w:val="32"/>
          <w:szCs w:val="32"/>
        </w:rPr>
        <w:t>消防站、交通枢纽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、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镇级以上党政机关办公楼</w:t>
      </w:r>
      <w:r>
        <w:rPr>
          <w:rFonts w:hint="eastAsia" w:eastAsia="仿宋_GB2312" w:cs="Times New Roman"/>
          <w:kern w:val="2"/>
          <w:sz w:val="32"/>
          <w:szCs w:val="32"/>
        </w:rPr>
        <w:t>等其他重要设施100米范围内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；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五是村庄民宅周边100米范围内；市、镇指定燃放点150米范围内；六是山地、林地边缘100米范围内；七是国道、省道50米范围内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390C7735">
      <w:pPr>
        <w:spacing w:line="560" w:lineRule="exact"/>
        <w:ind w:firstLine="636" w:firstLineChars="200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t>三、</w:t>
      </w:r>
      <w:r>
        <w:rPr>
          <w:rFonts w:hint="eastAsia" w:ascii="宋体" w:hAnsi="宋体" w:eastAsia="黑体"/>
          <w:sz w:val="32"/>
          <w:szCs w:val="32"/>
          <w:lang w:val="en-US" w:eastAsia="zh-CN"/>
        </w:rPr>
        <w:t>布</w:t>
      </w:r>
      <w:r>
        <w:rPr>
          <w:rFonts w:hint="eastAsia" w:ascii="宋体" w:hAnsi="宋体" w:eastAsia="黑体"/>
          <w:sz w:val="32"/>
          <w:szCs w:val="32"/>
        </w:rPr>
        <w:t>点</w:t>
      </w:r>
      <w:r>
        <w:rPr>
          <w:rFonts w:ascii="宋体" w:hAnsi="宋体" w:eastAsia="黑体"/>
          <w:sz w:val="32"/>
          <w:szCs w:val="32"/>
        </w:rPr>
        <w:t>条件</w:t>
      </w:r>
    </w:p>
    <w:p w14:paraId="16577743">
      <w:pPr>
        <w:spacing w:line="560" w:lineRule="exact"/>
        <w:ind w:firstLine="636" w:firstLineChars="200"/>
        <w:rPr>
          <w:rFonts w:hint="default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（一）选址与布局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（须符合《烟花爆竹零售店（点）安全技术规范》AQ4128-2019）。</w:t>
      </w:r>
    </w:p>
    <w:p w14:paraId="3DF5466F">
      <w:pPr>
        <w:spacing w:line="560" w:lineRule="exact"/>
        <w:ind w:firstLine="636" w:firstLineChars="200"/>
        <w:rPr>
          <w:rFonts w:hint="eastAsia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优先选择在交通便利、周边位置空旷、建筑物相对独立的区域。</w:t>
      </w:r>
    </w:p>
    <w:p w14:paraId="31E0F1AA">
      <w:pPr>
        <w:spacing w:line="560" w:lineRule="exact"/>
        <w:ind w:firstLine="636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1.</w:t>
      </w:r>
      <w:r>
        <w:rPr>
          <w:rFonts w:ascii="宋体" w:hAnsi="宋体" w:eastAsia="仿宋_GB2312"/>
          <w:sz w:val="32"/>
          <w:szCs w:val="32"/>
        </w:rPr>
        <w:t>符合恩平市烟花爆竹燃放规定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 w14:paraId="3043071A">
      <w:pPr>
        <w:pStyle w:val="18"/>
        <w:spacing w:before="0" w:beforeAutospacing="0" w:after="0" w:afterAutospacing="0" w:line="560" w:lineRule="exact"/>
        <w:ind w:firstLine="636" w:firstLineChars="200"/>
        <w:jc w:val="both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2.</w:t>
      </w:r>
      <w:r>
        <w:rPr>
          <w:rFonts w:hint="eastAsia" w:eastAsia="仿宋_GB2312" w:cs="Times New Roman"/>
          <w:kern w:val="2"/>
          <w:sz w:val="32"/>
          <w:szCs w:val="32"/>
        </w:rPr>
        <w:t>不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应</w:t>
      </w:r>
      <w:r>
        <w:rPr>
          <w:rFonts w:hint="eastAsia" w:eastAsia="仿宋_GB2312" w:cs="Times New Roman"/>
          <w:kern w:val="2"/>
          <w:sz w:val="32"/>
          <w:szCs w:val="32"/>
        </w:rPr>
        <w:t>设置在军事管理区、文物保护区等烟花爆竹禁放区范围内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24C2571C">
      <w:pPr>
        <w:pStyle w:val="18"/>
        <w:spacing w:before="0" w:beforeAutospacing="0" w:after="0" w:afterAutospacing="0" w:line="560" w:lineRule="exact"/>
        <w:ind w:firstLine="636" w:firstLineChars="200"/>
        <w:jc w:val="both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3.</w:t>
      </w:r>
      <w:r>
        <w:rPr>
          <w:rFonts w:hint="eastAsia" w:eastAsia="仿宋_GB2312" w:cs="Times New Roman"/>
          <w:kern w:val="2"/>
          <w:sz w:val="32"/>
          <w:szCs w:val="32"/>
        </w:rPr>
        <w:t>不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应</w:t>
      </w:r>
      <w:r>
        <w:rPr>
          <w:rFonts w:hint="eastAsia" w:eastAsia="仿宋_GB2312" w:cs="Times New Roman"/>
          <w:kern w:val="2"/>
          <w:sz w:val="32"/>
          <w:szCs w:val="32"/>
        </w:rPr>
        <w:t>设置在居民集中居住小区内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以及</w:t>
      </w:r>
      <w:r>
        <w:rPr>
          <w:rFonts w:hint="eastAsia" w:eastAsia="仿宋_GB2312" w:cs="Times New Roman"/>
          <w:kern w:val="2"/>
          <w:sz w:val="32"/>
          <w:szCs w:val="32"/>
        </w:rPr>
        <w:t>桥下及涵洞内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64F623BD">
      <w:pPr>
        <w:tabs>
          <w:tab w:val="left" w:pos="2036"/>
        </w:tabs>
        <w:bidi w:val="0"/>
        <w:ind w:firstLine="636" w:firstLineChars="200"/>
        <w:jc w:val="left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4.</w:t>
      </w:r>
      <w:r>
        <w:rPr>
          <w:rFonts w:hint="eastAsia" w:eastAsia="仿宋_GB2312" w:cs="Times New Roman"/>
          <w:kern w:val="2"/>
          <w:sz w:val="32"/>
          <w:szCs w:val="32"/>
        </w:rPr>
        <w:t>不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应</w:t>
      </w:r>
      <w:r>
        <w:rPr>
          <w:rFonts w:hint="eastAsia" w:eastAsia="仿宋_GB2312" w:cs="Times New Roman"/>
          <w:kern w:val="2"/>
          <w:sz w:val="32"/>
          <w:szCs w:val="32"/>
        </w:rPr>
        <w:t>与居住场所设置在同一建筑物内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不应</w:t>
      </w:r>
      <w:r>
        <w:rPr>
          <w:rFonts w:hint="eastAsia" w:eastAsia="仿宋_GB2312" w:cs="Times New Roman"/>
          <w:kern w:val="2"/>
          <w:sz w:val="32"/>
          <w:szCs w:val="32"/>
        </w:rPr>
        <w:t>设置在地下及半地下室内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0BFF5372">
      <w:pPr>
        <w:pStyle w:val="18"/>
        <w:spacing w:before="0" w:beforeAutospacing="0" w:after="0" w:afterAutospacing="0" w:line="560" w:lineRule="exact"/>
        <w:ind w:firstLine="635"/>
        <w:jc w:val="both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5.</w:t>
      </w:r>
      <w:r>
        <w:rPr>
          <w:rFonts w:hint="eastAsia" w:eastAsia="仿宋_GB2312" w:cs="Times New Roman"/>
          <w:kern w:val="2"/>
          <w:sz w:val="32"/>
          <w:szCs w:val="32"/>
        </w:rPr>
        <w:t>不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应</w:t>
      </w:r>
      <w:r>
        <w:rPr>
          <w:rFonts w:hint="eastAsia" w:eastAsia="仿宋_GB2312" w:cs="Times New Roman"/>
          <w:kern w:val="2"/>
          <w:sz w:val="32"/>
          <w:szCs w:val="32"/>
        </w:rPr>
        <w:t>设置在其地下、室内或上方有输送石油、天然气等易燃易爆物质管道的建筑物内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71D40C18">
      <w:pPr>
        <w:pStyle w:val="18"/>
        <w:spacing w:before="0" w:beforeAutospacing="0" w:after="0" w:afterAutospacing="0" w:line="560" w:lineRule="exact"/>
        <w:ind w:firstLine="635"/>
        <w:jc w:val="both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6.</w:t>
      </w:r>
      <w:r>
        <w:rPr>
          <w:rFonts w:hint="eastAsia" w:eastAsia="仿宋_GB2312" w:cs="Times New Roman"/>
          <w:kern w:val="2"/>
          <w:sz w:val="32"/>
          <w:szCs w:val="32"/>
        </w:rPr>
        <w:t>不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应</w:t>
      </w:r>
      <w:r>
        <w:rPr>
          <w:rFonts w:hint="eastAsia" w:eastAsia="仿宋_GB2312" w:cs="Times New Roman"/>
          <w:kern w:val="2"/>
          <w:sz w:val="32"/>
          <w:szCs w:val="32"/>
        </w:rPr>
        <w:t>设置在电压高于1kV的电力线路下方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1EE4EDB1">
      <w:pPr>
        <w:pStyle w:val="18"/>
        <w:spacing w:before="0" w:beforeAutospacing="0" w:after="0" w:afterAutospacing="0" w:line="560" w:lineRule="exact"/>
        <w:ind w:firstLine="636" w:firstLineChars="200"/>
        <w:jc w:val="both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7</w:t>
      </w:r>
      <w:r>
        <w:rPr>
          <w:rFonts w:hint="eastAsia" w:eastAsia="仿宋_GB2312" w:cs="Times New Roman"/>
          <w:kern w:val="2"/>
          <w:sz w:val="32"/>
          <w:szCs w:val="32"/>
        </w:rPr>
        <w:t>.应选择在消防车辆可以顺畅到达的区域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38B69F82">
      <w:pPr>
        <w:pStyle w:val="18"/>
        <w:spacing w:before="0" w:beforeAutospacing="0" w:after="0" w:afterAutospacing="0" w:line="560" w:lineRule="exact"/>
        <w:ind w:firstLine="636" w:firstLineChars="200"/>
        <w:jc w:val="both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8.</w:t>
      </w:r>
      <w:r>
        <w:rPr>
          <w:rFonts w:hint="eastAsia" w:eastAsia="仿宋_GB2312" w:cs="Times New Roman"/>
          <w:kern w:val="2"/>
          <w:sz w:val="32"/>
          <w:szCs w:val="32"/>
        </w:rPr>
        <w:t>与220kV及以上的区域变电站围墙和220kV以上的架空输电线路距离不少于50米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5DE9FCDE">
      <w:pPr>
        <w:pStyle w:val="18"/>
        <w:spacing w:before="0" w:beforeAutospacing="0" w:after="0" w:afterAutospacing="0" w:line="560" w:lineRule="exact"/>
        <w:ind w:firstLine="636" w:firstLineChars="200"/>
        <w:jc w:val="both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9.零售</w:t>
      </w:r>
      <w:r>
        <w:rPr>
          <w:rFonts w:hint="eastAsia" w:eastAsia="仿宋_GB2312" w:cs="Times New Roman"/>
          <w:kern w:val="2"/>
          <w:sz w:val="32"/>
          <w:szCs w:val="32"/>
        </w:rPr>
        <w:t>店（点）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位毗邻其他建筑物时，其毗邻墙体应为不燃材料墙体，且不应有门窗和洞口相通。</w:t>
      </w:r>
    </w:p>
    <w:p w14:paraId="5F0FA81A"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6" w:firstLineChars="200"/>
        <w:jc w:val="both"/>
        <w:textAlignment w:val="auto"/>
        <w:rPr>
          <w:rFonts w:hint="eastAsia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10.</w:t>
      </w:r>
      <w:r>
        <w:rPr>
          <w:rFonts w:hint="eastAsia" w:eastAsia="仿宋_GB2312" w:cs="Times New Roman"/>
          <w:kern w:val="2"/>
          <w:sz w:val="32"/>
          <w:szCs w:val="32"/>
        </w:rPr>
        <w:t>相邻零售店（点）之间的距离不小于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8</w:t>
      </w:r>
      <w:r>
        <w:rPr>
          <w:rFonts w:hint="eastAsia" w:eastAsia="仿宋_GB2312" w:cs="Times New Roman"/>
          <w:kern w:val="2"/>
          <w:sz w:val="32"/>
          <w:szCs w:val="32"/>
        </w:rPr>
        <w:t>0米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。</w:t>
      </w:r>
    </w:p>
    <w:p w14:paraId="130E19D1"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eastAsia" w:eastAsia="仿宋_GB2312" w:cs="Times New Roman"/>
          <w:kern w:val="2"/>
          <w:sz w:val="32"/>
          <w:szCs w:val="32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11</w:t>
      </w:r>
      <w:r>
        <w:rPr>
          <w:rFonts w:hint="eastAsia" w:eastAsia="仿宋_GB2312" w:cs="Times New Roman"/>
          <w:kern w:val="2"/>
          <w:sz w:val="32"/>
          <w:szCs w:val="32"/>
        </w:rPr>
        <w:t>.零售点位存放区和销售柜台应分区布置，确保安全疏散通道畅通。</w:t>
      </w:r>
    </w:p>
    <w:p w14:paraId="2EAF8EDA"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12.经营场所采用固定建筑物时应符合建筑结构及耐火等级要求。采用临时建筑物时，应独立设置。</w:t>
      </w:r>
    </w:p>
    <w:p w14:paraId="5AA43D2C"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13.不应</w:t>
      </w:r>
      <w:r>
        <w:rPr>
          <w:rFonts w:hint="eastAsia" w:eastAsia="仿宋_GB2312" w:cs="Times New Roman"/>
          <w:kern w:val="2"/>
          <w:sz w:val="32"/>
          <w:szCs w:val="32"/>
        </w:rPr>
        <w:t>在城乡结合部或集贸市场布设连片集中形式的烟花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爆竹零售经营场所，400米范围内布设零售店（点）不超过2个。</w:t>
      </w:r>
    </w:p>
    <w:p w14:paraId="6709A95C"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eastAsia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14.应配备5kg及以上的磷酸铵盐干粉灭火器，放置在便于使用的位置。使用面积不大于100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m</w:t>
      </w:r>
      <w:r>
        <w:rPr>
          <w:rFonts w:hint="eastAsia" w:ascii="宋体" w:hAnsi="宋体" w:eastAsia="仿宋_GB2312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的，应至少配备2具；使用面积大于100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m</w:t>
      </w:r>
      <w:r>
        <w:rPr>
          <w:rFonts w:hint="eastAsia" w:ascii="宋体" w:hAnsi="宋体" w:eastAsia="仿宋_GB2312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的，应至少配备4具且分为2个设置点。</w:t>
      </w:r>
    </w:p>
    <w:p w14:paraId="323A1B91"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default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15.零售场所醒目位置应设置“严禁烟火”“易燃易爆”“机动车辆装卸时必须熄火”等安全警示标识以及“五个严禁”警示标语，周边应设置“严禁燃放烟花爆竹”等安全警示标识。</w:t>
      </w:r>
    </w:p>
    <w:p w14:paraId="26A47475"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35"/>
        <w:jc w:val="both"/>
        <w:textAlignment w:val="auto"/>
        <w:rPr>
          <w:rFonts w:hint="default" w:eastAsia="仿宋_GB2312" w:cs="Times New Roman"/>
          <w:kern w:val="2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16.应制定并张贴烟花爆竹零售经营安全责任制、安全管理制度和安全操作规程。安全责任制应包括负责人安全责任制和销售人员、看护人员安全责任制。应明确看护人员。</w:t>
      </w:r>
    </w:p>
    <w:p w14:paraId="36886F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6" w:firstLineChars="200"/>
        <w:textAlignment w:val="auto"/>
        <w:rPr>
          <w:rFonts w:hint="default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（二）面积要求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。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/>
        </w:rPr>
        <w:t>零售</w:t>
      </w:r>
      <w:r>
        <w:rPr>
          <w:rFonts w:hint="eastAsia" w:eastAsia="仿宋_GB2312" w:cs="Times New Roman"/>
          <w:kern w:val="2"/>
          <w:sz w:val="32"/>
          <w:szCs w:val="32"/>
        </w:rPr>
        <w:t>店（点）</w:t>
      </w:r>
      <w:r>
        <w:rPr>
          <w:rFonts w:hint="eastAsia" w:eastAsia="仿宋_GB2312" w:cs="Times New Roman"/>
          <w:kern w:val="2"/>
          <w:sz w:val="32"/>
          <w:szCs w:val="32"/>
          <w:lang w:eastAsia="zh-CN"/>
        </w:rPr>
        <w:t>的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使用面积不应小于10 m</w:t>
      </w:r>
      <w:r>
        <w:rPr>
          <w:rFonts w:hint="eastAsia" w:ascii="宋体" w:hAnsi="宋体" w:eastAsia="仿宋_GB2312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，且不应大于200m</w:t>
      </w:r>
      <w:r>
        <w:rPr>
          <w:rFonts w:hint="eastAsia" w:ascii="宋体" w:hAnsi="宋体" w:eastAsia="仿宋_GB2312"/>
          <w:sz w:val="32"/>
          <w:szCs w:val="32"/>
          <w:vertAlign w:val="superscript"/>
          <w:lang w:val="en-US" w:eastAsia="zh-CN"/>
        </w:rPr>
        <w:t>2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。</w:t>
      </w:r>
    </w:p>
    <w:p w14:paraId="74A29EC2">
      <w:pPr>
        <w:spacing w:line="560" w:lineRule="exact"/>
        <w:ind w:firstLine="636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（三）采用拼接式板房、产品存储仓等临时建筑物的，零售许可证有效期最长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为3个月</w:t>
      </w:r>
      <w:r>
        <w:rPr>
          <w:rFonts w:hint="eastAsia" w:ascii="宋体" w:hAnsi="宋体" w:eastAsia="仿宋_GB2312"/>
          <w:sz w:val="32"/>
          <w:szCs w:val="32"/>
        </w:rPr>
        <w:t>。临时建筑物为板式结构时，宜采用板厚不小于50mm的彩钢岩棉夹芯板作墙面和屋面；临时建筑物为搭棚形式时，搭建材料应为不燃或难燃材料，棚的两侧及后侧应密实围护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 w14:paraId="2B44AEC0">
      <w:pPr>
        <w:spacing w:line="560" w:lineRule="exact"/>
        <w:ind w:firstLine="636" w:firstLineChars="200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t>四、</w:t>
      </w:r>
      <w:r>
        <w:rPr>
          <w:rFonts w:hint="eastAsia" w:ascii="宋体" w:hAnsi="宋体" w:eastAsia="黑体"/>
          <w:sz w:val="32"/>
          <w:szCs w:val="32"/>
        </w:rPr>
        <w:t>其他要求</w:t>
      </w:r>
    </w:p>
    <w:p w14:paraId="2DE8544C">
      <w:pPr>
        <w:spacing w:line="560" w:lineRule="exact"/>
        <w:ind w:firstLine="636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（一）</w:t>
      </w:r>
      <w:r>
        <w:rPr>
          <w:rFonts w:ascii="宋体" w:hAnsi="宋体" w:eastAsia="仿宋_GB2312"/>
          <w:sz w:val="32"/>
          <w:szCs w:val="32"/>
        </w:rPr>
        <w:t>从事烟花爆竹零售的经营者应当</w:t>
      </w:r>
      <w:r>
        <w:rPr>
          <w:rFonts w:hint="eastAsia" w:ascii="宋体" w:hAnsi="宋体" w:eastAsia="仿宋_GB2312"/>
          <w:sz w:val="32"/>
          <w:szCs w:val="32"/>
        </w:rPr>
        <w:t>依法</w:t>
      </w:r>
      <w:r>
        <w:rPr>
          <w:rFonts w:ascii="宋体" w:hAnsi="宋体" w:eastAsia="仿宋_GB2312"/>
          <w:sz w:val="32"/>
          <w:szCs w:val="32"/>
        </w:rPr>
        <w:t>取得《烟花爆竹经营（零售）许可证》。未取得《烟花爆竹经营（零售）许可证》的，任何单位或者个人不得从事烟花爆竹零售活动。</w:t>
      </w:r>
    </w:p>
    <w:p w14:paraId="58E3E003">
      <w:pPr>
        <w:spacing w:line="560" w:lineRule="exact"/>
        <w:ind w:firstLine="636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（二）</w:t>
      </w:r>
      <w:r>
        <w:rPr>
          <w:rFonts w:ascii="宋体" w:hAnsi="宋体" w:eastAsia="仿宋_GB2312"/>
          <w:sz w:val="32"/>
          <w:szCs w:val="32"/>
        </w:rPr>
        <w:t>市</w:t>
      </w:r>
      <w:r>
        <w:rPr>
          <w:rFonts w:hint="eastAsia" w:ascii="宋体" w:hAnsi="宋体" w:eastAsia="仿宋_GB2312"/>
          <w:sz w:val="32"/>
          <w:szCs w:val="32"/>
        </w:rPr>
        <w:t>应急管理</w:t>
      </w:r>
      <w:r>
        <w:rPr>
          <w:rFonts w:ascii="宋体" w:hAnsi="宋体" w:eastAsia="仿宋_GB2312"/>
          <w:sz w:val="32"/>
          <w:szCs w:val="32"/>
        </w:rPr>
        <w:t>局根据各镇（街）总体控制数量指标，按照相关法规和文件的要求，以</w:t>
      </w:r>
      <w:r>
        <w:rPr>
          <w:rFonts w:hint="eastAsia" w:ascii="宋体" w:hAnsi="宋体" w:eastAsia="仿宋_GB2312"/>
          <w:sz w:val="32"/>
          <w:szCs w:val="32"/>
        </w:rPr>
        <w:t>受理</w:t>
      </w:r>
      <w:r>
        <w:rPr>
          <w:rFonts w:ascii="宋体" w:hAnsi="宋体" w:eastAsia="仿宋_GB2312"/>
          <w:sz w:val="32"/>
          <w:szCs w:val="32"/>
        </w:rPr>
        <w:t>申请</w:t>
      </w:r>
      <w:r>
        <w:rPr>
          <w:rFonts w:hint="eastAsia" w:ascii="宋体" w:hAnsi="宋体" w:eastAsia="仿宋_GB2312"/>
          <w:sz w:val="32"/>
          <w:szCs w:val="32"/>
        </w:rPr>
        <w:t>的</w:t>
      </w:r>
      <w:r>
        <w:rPr>
          <w:rFonts w:ascii="宋体" w:hAnsi="宋体" w:eastAsia="仿宋_GB2312"/>
          <w:sz w:val="32"/>
          <w:szCs w:val="32"/>
        </w:rPr>
        <w:t>先后</w:t>
      </w:r>
      <w:r>
        <w:rPr>
          <w:rFonts w:hint="eastAsia" w:ascii="宋体" w:hAnsi="宋体" w:eastAsia="仿宋_GB2312"/>
          <w:sz w:val="32"/>
          <w:szCs w:val="32"/>
        </w:rPr>
        <w:t>顺序作出是否准予行政许可的</w:t>
      </w:r>
      <w:r>
        <w:rPr>
          <w:rFonts w:ascii="宋体" w:hAnsi="宋体" w:eastAsia="仿宋_GB2312"/>
          <w:sz w:val="32"/>
          <w:szCs w:val="32"/>
        </w:rPr>
        <w:t>决定，已达到规定数量限额的，将不再受理申请。</w:t>
      </w:r>
    </w:p>
    <w:p w14:paraId="431EF9DE">
      <w:pPr>
        <w:spacing w:line="560" w:lineRule="exact"/>
        <w:ind w:firstLine="636" w:firstLineChars="200"/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仿宋_GB2312"/>
          <w:b w:val="0"/>
          <w:bCs w:val="0"/>
          <w:sz w:val="32"/>
          <w:szCs w:val="32"/>
        </w:rPr>
        <w:t>（三）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存在以下情形的，</w:t>
      </w:r>
      <w:r>
        <w:rPr>
          <w:rFonts w:ascii="宋体" w:hAnsi="宋体" w:eastAsia="仿宋_GB2312"/>
          <w:b w:val="0"/>
          <w:bCs w:val="0"/>
          <w:sz w:val="32"/>
          <w:szCs w:val="32"/>
        </w:rPr>
        <w:t>市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应急管理</w:t>
      </w:r>
      <w:r>
        <w:rPr>
          <w:rFonts w:ascii="宋体" w:hAnsi="宋体" w:eastAsia="仿宋_GB2312"/>
          <w:b w:val="0"/>
          <w:bCs w:val="0"/>
          <w:sz w:val="32"/>
          <w:szCs w:val="32"/>
        </w:rPr>
        <w:t>局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不予受理，申请人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在2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年内不得提出烟花爆竹经营许可申请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：</w:t>
      </w:r>
    </w:p>
    <w:p w14:paraId="40F514FC">
      <w:pPr>
        <w:spacing w:line="560" w:lineRule="exact"/>
        <w:ind w:firstLine="636" w:firstLineChars="200"/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申请人隐瞒有关情况或者提供虚假材料申请烟花爆竹经营许可证的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；</w:t>
      </w:r>
    </w:p>
    <w:p w14:paraId="718022C8">
      <w:pPr>
        <w:spacing w:line="560" w:lineRule="exact"/>
        <w:ind w:firstLine="636" w:firstLineChars="200"/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仿宋_GB2312"/>
          <w:b w:val="0"/>
          <w:bCs w:val="0"/>
          <w:sz w:val="32"/>
          <w:szCs w:val="32"/>
        </w:rPr>
        <w:t>申请人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在一年内被查处存在异地销售、超量储存、销售非法生产经营的烟花爆竹行为的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。</w:t>
      </w:r>
    </w:p>
    <w:p w14:paraId="6EC2D85C">
      <w:pPr>
        <w:spacing w:line="560" w:lineRule="exact"/>
        <w:ind w:firstLine="636" w:firstLineChars="200"/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仿宋_GB2312"/>
          <w:b w:val="0"/>
          <w:bCs w:val="0"/>
          <w:sz w:val="32"/>
          <w:szCs w:val="32"/>
          <w:lang w:eastAsia="zh-CN"/>
        </w:rPr>
        <w:t>）以欺骗、贿赂等不正当手段取得烟花爆竹经营许可证的，市应急管理局予以撤销，该经营单位3年内不得再次提出烟花爆竹经营许可申请。</w:t>
      </w:r>
    </w:p>
    <w:p w14:paraId="12833311">
      <w:pPr>
        <w:spacing w:line="560" w:lineRule="exact"/>
        <w:ind w:firstLine="636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  <w:lang w:eastAsia="zh-CN"/>
        </w:rPr>
        <w:t>（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五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）</w:t>
      </w:r>
      <w:r>
        <w:rPr>
          <w:rFonts w:ascii="宋体" w:hAnsi="宋体" w:eastAsia="仿宋_GB2312"/>
          <w:sz w:val="32"/>
          <w:szCs w:val="32"/>
        </w:rPr>
        <w:t>取得烟花爆竹经营许可证的单位依法终止烟花爆竹经营活动的，应当向市</w:t>
      </w:r>
      <w:r>
        <w:rPr>
          <w:rFonts w:hint="eastAsia" w:ascii="宋体" w:hAnsi="宋体" w:eastAsia="仿宋_GB2312"/>
          <w:sz w:val="32"/>
          <w:szCs w:val="32"/>
        </w:rPr>
        <w:t>应急管理</w:t>
      </w:r>
      <w:r>
        <w:rPr>
          <w:rFonts w:ascii="宋体" w:hAnsi="宋体" w:eastAsia="仿宋_GB2312"/>
          <w:sz w:val="32"/>
          <w:szCs w:val="32"/>
        </w:rPr>
        <w:t>局申请注销其经营许可证。</w:t>
      </w:r>
    </w:p>
    <w:p w14:paraId="39E36124">
      <w:pPr>
        <w:spacing w:line="560" w:lineRule="exact"/>
        <w:ind w:firstLine="636" w:firstLineChars="200"/>
        <w:rPr>
          <w:rFonts w:hint="eastAsia"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六</w:t>
      </w:r>
      <w:r>
        <w:rPr>
          <w:rFonts w:hint="eastAsia" w:ascii="宋体" w:hAnsi="宋体" w:eastAsia="仿宋_GB2312"/>
          <w:sz w:val="32"/>
          <w:szCs w:val="32"/>
        </w:rPr>
        <w:t>）鼓励采用现代科技手段，如安装视频监控、烟雾报警器等设备，提高</w:t>
      </w:r>
      <w:r>
        <w:rPr>
          <w:rFonts w:hint="eastAsia" w:eastAsia="仿宋_GB2312" w:cs="Times New Roman"/>
          <w:kern w:val="2"/>
          <w:sz w:val="32"/>
          <w:szCs w:val="32"/>
          <w:lang w:val="en-US" w:eastAsia="zh-CN"/>
        </w:rPr>
        <w:t>零售</w:t>
      </w:r>
      <w:r>
        <w:rPr>
          <w:rFonts w:hint="eastAsia" w:eastAsia="仿宋_GB2312" w:cs="Times New Roman"/>
          <w:kern w:val="2"/>
          <w:sz w:val="32"/>
          <w:szCs w:val="32"/>
        </w:rPr>
        <w:t>店（点）</w:t>
      </w:r>
      <w:r>
        <w:rPr>
          <w:rFonts w:hint="eastAsia" w:ascii="宋体" w:hAnsi="宋体" w:eastAsia="仿宋_GB2312"/>
          <w:sz w:val="32"/>
          <w:szCs w:val="32"/>
        </w:rPr>
        <w:t>的安全管理水平。</w:t>
      </w:r>
    </w:p>
    <w:p w14:paraId="5B4F7C2D">
      <w:pPr>
        <w:spacing w:line="560" w:lineRule="exact"/>
        <w:ind w:firstLine="636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  <w:lang w:eastAsia="zh-CN"/>
        </w:rPr>
        <w:t>（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七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）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公开举报电话，鼓励举报、奖励举报。</w:t>
      </w:r>
      <w:r>
        <w:rPr>
          <w:rFonts w:hint="eastAsia" w:ascii="宋体" w:hAnsi="宋体" w:eastAsia="仿宋_GB2312"/>
          <w:sz w:val="32"/>
          <w:szCs w:val="32"/>
        </w:rPr>
        <w:t xml:space="preserve"> </w:t>
      </w:r>
      <w:r>
        <w:rPr>
          <w:rFonts w:ascii="宋体" w:hAnsi="宋体" w:eastAsia="仿宋_GB2312"/>
          <w:sz w:val="32"/>
          <w:szCs w:val="32"/>
        </w:rPr>
        <w:t xml:space="preserve"> </w:t>
      </w:r>
    </w:p>
    <w:p w14:paraId="03CFF103">
      <w:pPr>
        <w:spacing w:line="560" w:lineRule="exact"/>
        <w:ind w:firstLine="636" w:firstLineChars="200"/>
        <w:rPr>
          <w:rFonts w:ascii="宋体" w:hAnsi="宋体" w:eastAsia="黑体"/>
          <w:sz w:val="32"/>
          <w:szCs w:val="32"/>
        </w:rPr>
      </w:pPr>
      <w:r>
        <w:rPr>
          <w:rFonts w:hint="eastAsia" w:ascii="宋体" w:hAnsi="宋体" w:eastAsia="黑体"/>
          <w:sz w:val="32"/>
          <w:szCs w:val="32"/>
        </w:rPr>
        <w:t>五、执行时间</w:t>
      </w:r>
    </w:p>
    <w:p w14:paraId="0023876A">
      <w:pPr>
        <w:spacing w:line="560" w:lineRule="exact"/>
        <w:ind w:firstLine="636" w:firstLineChars="200"/>
        <w:jc w:val="left"/>
        <w:rPr>
          <w:rFonts w:hint="eastAsia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仿宋_GB2312"/>
          <w:sz w:val="32"/>
          <w:szCs w:val="32"/>
        </w:rPr>
        <w:t>本方案自印发之日起实施，原恩平市应急管理局于20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25</w:t>
      </w:r>
      <w:r>
        <w:rPr>
          <w:rFonts w:hint="eastAsia" w:ascii="宋体" w:hAnsi="宋体" w:eastAsia="仿宋_GB2312"/>
          <w:sz w:val="32"/>
          <w:szCs w:val="32"/>
        </w:rPr>
        <w:t>年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12月23日</w:t>
      </w:r>
      <w:r>
        <w:rPr>
          <w:rFonts w:hint="eastAsia" w:ascii="宋体" w:hAnsi="宋体" w:eastAsia="仿宋_GB2312"/>
          <w:sz w:val="32"/>
          <w:szCs w:val="32"/>
        </w:rPr>
        <w:t>印发的《恩平市烟花爆竹经营（零售）布点规划方案》（202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仿宋_GB2312"/>
          <w:sz w:val="32"/>
          <w:szCs w:val="32"/>
        </w:rPr>
        <w:t>年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第二次</w:t>
      </w:r>
      <w:r>
        <w:rPr>
          <w:rFonts w:hint="eastAsia" w:ascii="宋体" w:hAnsi="宋体" w:eastAsia="仿宋_GB2312"/>
          <w:sz w:val="32"/>
          <w:szCs w:val="32"/>
        </w:rPr>
        <w:t>修订）（恩应急〔202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仿宋_GB2312"/>
          <w:sz w:val="32"/>
          <w:szCs w:val="32"/>
        </w:rPr>
        <w:t>〕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34</w:t>
      </w:r>
      <w:r>
        <w:rPr>
          <w:rFonts w:hint="eastAsia" w:ascii="宋体" w:hAnsi="宋体" w:eastAsia="仿宋_GB2312"/>
          <w:sz w:val="32"/>
          <w:szCs w:val="32"/>
        </w:rPr>
        <w:t>号）同时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废止。</w:t>
      </w:r>
    </w:p>
    <w:p w14:paraId="19B14BB6">
      <w:pPr>
        <w:spacing w:line="560" w:lineRule="exact"/>
        <w:ind w:firstLine="636" w:firstLineChars="200"/>
        <w:jc w:val="left"/>
        <w:rPr>
          <w:rFonts w:hint="eastAsia"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2.本方案印发实施后，现有烟花爆竹零售店（点）与最新布点规划不一致而许可证仍在有效期内的，许可期内证件有效，期满后不再发证。过渡期间布点地段现有烟花爆竹零售店（点）超出控制指标的，超出部分不作为总控制指标限额</w:t>
      </w:r>
      <w:r>
        <w:rPr>
          <w:rFonts w:hint="eastAsia" w:ascii="宋体" w:hAnsi="宋体" w:eastAsia="仿宋_GB2312"/>
          <w:sz w:val="32"/>
          <w:szCs w:val="32"/>
        </w:rPr>
        <w:t>。</w:t>
      </w:r>
    </w:p>
    <w:p w14:paraId="455C2ACD">
      <w:pPr>
        <w:spacing w:line="560" w:lineRule="exact"/>
        <w:ind w:firstLine="636" w:firstLineChars="200"/>
        <w:jc w:val="left"/>
        <w:rPr>
          <w:rFonts w:hint="default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3.2026年至2027年过渡期间，统一申请时间为2026年8月1日至31日，如申请人数超过控制数量指标，采取集中抽签方式确定申请资格。</w:t>
      </w:r>
    </w:p>
    <w:p w14:paraId="6ADCBA1C">
      <w:pPr>
        <w:spacing w:line="560" w:lineRule="exact"/>
        <w:ind w:firstLine="636" w:firstLineChars="200"/>
        <w:jc w:val="left"/>
        <w:rPr>
          <w:rFonts w:hint="eastAsia" w:ascii="宋体" w:hAnsi="宋体" w:eastAsia="仿宋_GB2312"/>
          <w:sz w:val="32"/>
          <w:szCs w:val="32"/>
          <w:lang w:val="en-US" w:eastAsia="zh-CN"/>
        </w:rPr>
      </w:pPr>
    </w:p>
    <w:p w14:paraId="09AC2469">
      <w:pPr>
        <w:spacing w:line="560" w:lineRule="exact"/>
        <w:ind w:firstLine="636" w:firstLineChars="200"/>
        <w:jc w:val="left"/>
        <w:rPr>
          <w:rFonts w:hint="eastAsia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>附件1：恩平市烟花爆竹零售经营点总体控制数量指标</w:t>
      </w:r>
    </w:p>
    <w:p w14:paraId="56327067">
      <w:pPr>
        <w:spacing w:line="560" w:lineRule="exact"/>
        <w:ind w:firstLine="636" w:firstLineChars="200"/>
        <w:jc w:val="left"/>
        <w:rPr>
          <w:rFonts w:hint="default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 xml:space="preserve">     2.恩平市各镇圩禁设烟花爆竹零售店（点）示意图</w:t>
      </w:r>
    </w:p>
    <w:p w14:paraId="666123E6">
      <w:pPr>
        <w:spacing w:line="560" w:lineRule="exact"/>
        <w:ind w:firstLine="636" w:firstLineChars="200"/>
        <w:jc w:val="left"/>
        <w:rPr>
          <w:rFonts w:hint="eastAsia" w:ascii="宋体" w:hAnsi="宋体" w:eastAsia="仿宋_GB2312"/>
          <w:sz w:val="32"/>
          <w:szCs w:val="32"/>
          <w:lang w:val="en-US" w:eastAsia="zh-CN"/>
        </w:rPr>
      </w:pPr>
      <w:r>
        <w:rPr>
          <w:rFonts w:hint="eastAsia" w:ascii="宋体" w:hAnsi="宋体" w:eastAsia="仿宋_GB2312"/>
          <w:sz w:val="32"/>
          <w:szCs w:val="32"/>
          <w:lang w:val="en-US" w:eastAsia="zh-CN"/>
        </w:rPr>
        <w:t xml:space="preserve">            </w:t>
      </w:r>
    </w:p>
    <w:p w14:paraId="0437EF82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</w:t>
      </w:r>
    </w:p>
    <w:p w14:paraId="23BFA14E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   </w:t>
      </w:r>
    </w:p>
    <w:p w14:paraId="5A01C079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7724D0DB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</w:t>
      </w:r>
    </w:p>
    <w:p w14:paraId="100E4A9C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6100AF13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</w:t>
      </w:r>
    </w:p>
    <w:p w14:paraId="1C4A3397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2286E0C0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68A2DD7C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</w:t>
      </w:r>
    </w:p>
    <w:p w14:paraId="2B665E2B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5A2BAD94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46349AD8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</w:t>
      </w:r>
    </w:p>
    <w:p w14:paraId="5CBB99F9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         </w:t>
      </w:r>
    </w:p>
    <w:p w14:paraId="3AEBF868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</w:t>
      </w:r>
    </w:p>
    <w:p w14:paraId="468EB0B5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</w:t>
      </w:r>
    </w:p>
    <w:p w14:paraId="3CE4978D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</w:t>
      </w:r>
    </w:p>
    <w:p w14:paraId="04480DBB">
      <w:pPr>
        <w:ind w:firstLine="636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宋体" w:hAnsi="宋体" w:eastAsia="仿宋_GB2312"/>
          <w:sz w:val="32"/>
          <w:szCs w:val="32"/>
        </w:rPr>
        <w:t xml:space="preserve">              </w:t>
      </w:r>
    </w:p>
    <w:p w14:paraId="201DE5DB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  <w:r>
        <w:rPr>
          <w:rFonts w:hint="eastAsia" w:ascii="黑体" w:hAnsi="黑体" w:eastAsia="黑体" w:cs="黑体"/>
          <w:sz w:val="32"/>
          <w:szCs w:val="32"/>
        </w:rPr>
        <w:t xml:space="preserve">    </w:t>
      </w:r>
    </w:p>
    <w:p w14:paraId="3C352416">
      <w:pPr>
        <w:spacing w:line="700" w:lineRule="exact"/>
        <w:jc w:val="center"/>
        <w:rPr>
          <w:rFonts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恩平市烟花爆竹零售经营点总体控制数量指标</w:t>
      </w:r>
    </w:p>
    <w:p w14:paraId="3CE7FA8F">
      <w:pPr>
        <w:jc w:val="center"/>
        <w:rPr>
          <w:rFonts w:ascii="宋体" w:hAnsi="宋体"/>
          <w:sz w:val="32"/>
          <w:szCs w:val="32"/>
        </w:rPr>
      </w:pPr>
    </w:p>
    <w:tbl>
      <w:tblPr>
        <w:tblStyle w:val="21"/>
        <w:tblW w:w="88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5"/>
        <w:gridCol w:w="1594"/>
        <w:gridCol w:w="5400"/>
      </w:tblGrid>
      <w:tr w14:paraId="37B67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4B2996C5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镇（街）</w:t>
            </w:r>
          </w:p>
        </w:tc>
        <w:tc>
          <w:tcPr>
            <w:tcW w:w="1594" w:type="dxa"/>
            <w:vAlign w:val="center"/>
          </w:tcPr>
          <w:p w14:paraId="0E246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控制数量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(</w:t>
            </w:r>
            <w:r>
              <w:rPr>
                <w:rFonts w:ascii="仿宋_GB2312" w:eastAsia="仿宋_GB2312"/>
                <w:sz w:val="32"/>
                <w:szCs w:val="32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)</w:t>
            </w:r>
          </w:p>
        </w:tc>
        <w:tc>
          <w:tcPr>
            <w:tcW w:w="5400" w:type="dxa"/>
            <w:vAlign w:val="center"/>
          </w:tcPr>
          <w:p w14:paraId="35407D57">
            <w:pPr>
              <w:spacing w:line="560" w:lineRule="exact"/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布点地段</w:t>
            </w:r>
          </w:p>
        </w:tc>
      </w:tr>
      <w:tr w14:paraId="1FECA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restart"/>
            <w:vAlign w:val="center"/>
          </w:tcPr>
          <w:p w14:paraId="7053F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恩城街道（共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家）</w:t>
            </w:r>
          </w:p>
        </w:tc>
        <w:tc>
          <w:tcPr>
            <w:tcW w:w="1594" w:type="dxa"/>
            <w:vAlign w:val="center"/>
          </w:tcPr>
          <w:p w14:paraId="51FA0BBA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102E1ACB">
            <w:pPr>
              <w:spacing w:line="560" w:lineRule="exact"/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塘劳、禄平、新楼村委会辖区</w:t>
            </w:r>
          </w:p>
        </w:tc>
      </w:tr>
      <w:tr w14:paraId="171B4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4BBF47E2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A158069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D0ABCFD">
            <w:pPr>
              <w:spacing w:line="560" w:lineRule="exact"/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联合、西安、沙联村委会辖区</w:t>
            </w:r>
          </w:p>
        </w:tc>
      </w:tr>
      <w:tr w14:paraId="25B5E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26E34F0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A2A47A1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7C2FF386"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茶坑村委会辖区</w:t>
            </w:r>
          </w:p>
        </w:tc>
      </w:tr>
      <w:tr w14:paraId="72AC0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2D0972A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8E76734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1FCD93EE"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中南、米仓、南联村委会辖区</w:t>
            </w:r>
          </w:p>
        </w:tc>
      </w:tr>
      <w:tr w14:paraId="4E739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34BE3A99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5BCF70E4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4E07CD29"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石泉、石联村委会辖区</w:t>
            </w:r>
          </w:p>
        </w:tc>
      </w:tr>
      <w:tr w14:paraId="28568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381D20C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616D11D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00783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石青、平塘、锦岗、顶冲、平富岗村委会辖区</w:t>
            </w:r>
          </w:p>
        </w:tc>
      </w:tr>
      <w:tr w14:paraId="56AA6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95" w:type="dxa"/>
            <w:vMerge w:val="continue"/>
            <w:vAlign w:val="center"/>
          </w:tcPr>
          <w:p w14:paraId="4F5C16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2102C875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332DDC35">
            <w:pPr>
              <w:spacing w:line="560" w:lineRule="exact"/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石栏村委会辖区</w:t>
            </w:r>
          </w:p>
        </w:tc>
      </w:tr>
      <w:tr w14:paraId="7B2F8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1F33A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沙湖镇</w:t>
            </w:r>
          </w:p>
          <w:p w14:paraId="49DAA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3A80EC4B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DC39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南坑、浴水、那梨、伍边、李边、南闸、咀厚村委会辖区</w:t>
            </w:r>
          </w:p>
        </w:tc>
      </w:tr>
      <w:tr w14:paraId="0837D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0C0F538F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2C21CC8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A015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圩镇社区居委会、圣园、和平、横陂、下凯、上凯、高园、南平、水楼村委会辖区</w:t>
            </w:r>
          </w:p>
        </w:tc>
      </w:tr>
      <w:tr w14:paraId="78FBE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29C447CD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1B31104E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16247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乌石、关村、成平、扁冲、南塘、东岸村委会辖区</w:t>
            </w:r>
          </w:p>
        </w:tc>
      </w:tr>
      <w:tr w14:paraId="1F402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4567F0A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牛江镇</w:t>
            </w:r>
          </w:p>
        </w:tc>
        <w:tc>
          <w:tcPr>
            <w:tcW w:w="1594" w:type="dxa"/>
            <w:vAlign w:val="center"/>
          </w:tcPr>
          <w:p w14:paraId="0D20620F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64FC99C8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</w:p>
        </w:tc>
      </w:tr>
      <w:tr w14:paraId="14005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1098A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君堂镇</w:t>
            </w:r>
          </w:p>
          <w:p w14:paraId="4A647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75631036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0A158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江洲圩居委会、太平、东北雁、永华、中安、沙冈、平安、西园、堡城村委会辖区</w:t>
            </w:r>
          </w:p>
        </w:tc>
      </w:tr>
      <w:tr w14:paraId="60161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1F4676B9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316172D5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1BC31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君堂圩居委会、新君、塘库、黎塘、新塘、潢步头村委会辖区</w:t>
            </w:r>
          </w:p>
        </w:tc>
      </w:tr>
      <w:tr w14:paraId="03D95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5C3049E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1CEDA7A4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37047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大湾、清湖、琅哥、石潭、杨屋村委会辖区</w:t>
            </w:r>
          </w:p>
        </w:tc>
      </w:tr>
      <w:tr w14:paraId="35A36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6904C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圣堂镇</w:t>
            </w:r>
          </w:p>
          <w:p w14:paraId="1BB2F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714A769F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61640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三联、歇马、进职、长安、湴朗村委会辖区</w:t>
            </w:r>
          </w:p>
        </w:tc>
      </w:tr>
      <w:tr w14:paraId="6AFE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0C34354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2245B908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3B759CD8">
            <w:pPr>
              <w:spacing w:line="560" w:lineRule="exact"/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三山、区村、水塘村委会辖区</w:t>
            </w:r>
          </w:p>
        </w:tc>
      </w:tr>
      <w:tr w14:paraId="79FC3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45077A3D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3CEEC26E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6E9A8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圩镇居委会、塘龙、龙塘、根竹头村委会辖区</w:t>
            </w:r>
          </w:p>
        </w:tc>
      </w:tr>
      <w:tr w14:paraId="6E288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0716BAF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良西镇</w:t>
            </w:r>
          </w:p>
        </w:tc>
        <w:tc>
          <w:tcPr>
            <w:tcW w:w="1594" w:type="dxa"/>
            <w:vAlign w:val="center"/>
          </w:tcPr>
          <w:p w14:paraId="79B96411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10CE9AE3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</w:p>
        </w:tc>
      </w:tr>
      <w:tr w14:paraId="35E47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66870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东成镇</w:t>
            </w:r>
          </w:p>
          <w:p w14:paraId="3C6C4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1FC6ED86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5DF96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横槎、顺槎、祝荷、塘洲、金坑、东新村委会辖区</w:t>
            </w:r>
          </w:p>
        </w:tc>
      </w:tr>
      <w:tr w14:paraId="2C72C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2230DFCC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17995D2B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7ECA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圩镇居委会、石路、四联村委会辖区</w:t>
            </w:r>
          </w:p>
        </w:tc>
      </w:tr>
      <w:tr w14:paraId="3E10D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324631DD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73CE79FC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74387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上绵湖、下绵湖、石岗、石桥头、牛皮塘、横岗头、鹿颈村委会辖区</w:t>
            </w:r>
          </w:p>
        </w:tc>
      </w:tr>
      <w:tr w14:paraId="77B22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4B3DF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大田镇</w:t>
            </w:r>
          </w:p>
          <w:p w14:paraId="7DED4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1E19B225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AF97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朗底圩居委会、朗北、朗西、东南村委会辖区</w:t>
            </w:r>
          </w:p>
        </w:tc>
      </w:tr>
      <w:tr w14:paraId="40A55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79BC16B3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3824EE0A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18C22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大田圩居委会、石山、华南、上南村委会辖区</w:t>
            </w:r>
          </w:p>
        </w:tc>
      </w:tr>
      <w:tr w14:paraId="5CAC2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52D0BD11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62BD0732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E883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黄沙、白石、北合、炉塘村委会辖区</w:t>
            </w:r>
          </w:p>
        </w:tc>
      </w:tr>
      <w:tr w14:paraId="67604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restart"/>
            <w:vAlign w:val="center"/>
          </w:tcPr>
          <w:p w14:paraId="67669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横陂镇</w:t>
            </w:r>
          </w:p>
          <w:p w14:paraId="15168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共</w:t>
            </w: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家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1594" w:type="dxa"/>
            <w:vAlign w:val="center"/>
          </w:tcPr>
          <w:p w14:paraId="4773139E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427A3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洪滘圩居委会、塘莲、湾海、新潮、围边、蓝田、元山、大亨村委会辖区</w:t>
            </w:r>
          </w:p>
        </w:tc>
      </w:tr>
      <w:tr w14:paraId="24EA8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4DFB8B40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567E8959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2A7E2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横陂圩居委会、虾山、白庙、白银、岐联、横东村委会辖区</w:t>
            </w:r>
          </w:p>
        </w:tc>
      </w:tr>
      <w:tr w14:paraId="36446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Merge w:val="continue"/>
            <w:vAlign w:val="center"/>
          </w:tcPr>
          <w:p w14:paraId="46A1B737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594" w:type="dxa"/>
            <w:vAlign w:val="center"/>
          </w:tcPr>
          <w:p w14:paraId="2A81CB37">
            <w:pPr>
              <w:spacing w:line="560" w:lineRule="exact"/>
              <w:jc w:val="center"/>
              <w:rPr>
                <w:rFonts w:hint="default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5400" w:type="dxa"/>
            <w:vAlign w:val="center"/>
          </w:tcPr>
          <w:p w14:paraId="32D06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横盘、横南、西联、横平、甘围、横西、南华村委会辖区</w:t>
            </w:r>
          </w:p>
        </w:tc>
      </w:tr>
      <w:tr w14:paraId="74B48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10D793C2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大槐镇</w:t>
            </w:r>
          </w:p>
        </w:tc>
        <w:tc>
          <w:tcPr>
            <w:tcW w:w="1594" w:type="dxa"/>
            <w:vAlign w:val="center"/>
          </w:tcPr>
          <w:p w14:paraId="2D602D51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0C8270CD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</w:p>
        </w:tc>
      </w:tr>
      <w:tr w14:paraId="557B6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351384A9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那吉镇</w:t>
            </w:r>
          </w:p>
        </w:tc>
        <w:tc>
          <w:tcPr>
            <w:tcW w:w="1594" w:type="dxa"/>
            <w:vAlign w:val="center"/>
          </w:tcPr>
          <w:p w14:paraId="47EC1A2C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5400" w:type="dxa"/>
            <w:vAlign w:val="center"/>
          </w:tcPr>
          <w:p w14:paraId="501A7169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</w:p>
        </w:tc>
      </w:tr>
      <w:tr w14:paraId="39628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5" w:type="dxa"/>
            <w:vAlign w:val="center"/>
          </w:tcPr>
          <w:p w14:paraId="00F1214F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总计</w:t>
            </w:r>
          </w:p>
        </w:tc>
        <w:tc>
          <w:tcPr>
            <w:tcW w:w="1594" w:type="dxa"/>
            <w:vAlign w:val="center"/>
          </w:tcPr>
          <w:p w14:paraId="6904AC5E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32"/>
                <w:szCs w:val="32"/>
                <w:lang w:val="en-US" w:eastAsia="zh-CN"/>
              </w:rPr>
              <w:t>35</w:t>
            </w:r>
          </w:p>
        </w:tc>
        <w:tc>
          <w:tcPr>
            <w:tcW w:w="5400" w:type="dxa"/>
            <w:vAlign w:val="center"/>
          </w:tcPr>
          <w:p w14:paraId="6084690C">
            <w:pPr>
              <w:spacing w:line="560" w:lineRule="exact"/>
              <w:jc w:val="center"/>
              <w:rPr>
                <w:rFonts w:hint="eastAsia" w:asciiTheme="minorEastAsia" w:hAnsiTheme="minorEastAsia" w:eastAsiaTheme="minorEastAsia"/>
                <w:color w:val="FF0000"/>
                <w:sz w:val="32"/>
                <w:szCs w:val="32"/>
                <w:lang w:val="en-US" w:eastAsia="zh-CN"/>
              </w:rPr>
            </w:pPr>
          </w:p>
        </w:tc>
      </w:tr>
    </w:tbl>
    <w:p w14:paraId="1A8D02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A6724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2809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397B0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jc w:val="center"/>
        <w:textAlignment w:val="auto"/>
        <w:rPr>
          <w:rFonts w:hint="default" w:ascii="方正小标宋简体" w:hAnsi="宋体" w:eastAsia="方正小标宋简体"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恩平市各镇圩禁设烟花爆竹零售店（点）示意图</w:t>
      </w:r>
    </w:p>
    <w:p w14:paraId="3C08040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132715</wp:posOffset>
            </wp:positionV>
            <wp:extent cx="5671185" cy="4493260"/>
            <wp:effectExtent l="0" t="0" r="5715" b="2540"/>
            <wp:wrapNone/>
            <wp:docPr id="1" name="图片 1" descr="WXWorkLocal_17763281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WorkLocal_177632819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CEC6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E39EB0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42339A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6ABB95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C92AA4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7B0E8D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6ECF12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DAD74E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5AE865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671B1A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FA6BDA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CCFB3D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lang w:val="en-US" w:eastAsia="zh-CN"/>
        </w:rPr>
      </w:pPr>
    </w:p>
    <w:p w14:paraId="0921DF1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沙湖圩</w:t>
      </w:r>
    </w:p>
    <w:p w14:paraId="0A15EA6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 w14:paraId="64E6C00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05FB66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F4BD0C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57131F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7DE8E4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502596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279590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955201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B8A3CC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23495</wp:posOffset>
            </wp:positionV>
            <wp:extent cx="5651500" cy="3850640"/>
            <wp:effectExtent l="0" t="0" r="6350" b="16510"/>
            <wp:wrapNone/>
            <wp:docPr id="6" name="图片 6" descr="clipbord_177062421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lipbord_17706242187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45AB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7EAF53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5E463B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A1B1E9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306908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E94A56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D02409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A353DE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2D7C58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4F8ADB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637334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牛江圩</w:t>
      </w:r>
    </w:p>
    <w:p w14:paraId="214B321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C983C1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5040990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B10DDF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6425B5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7D7CC4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DE21FE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B0603A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92D1FF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10EE2D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71A677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B171E1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19685</wp:posOffset>
            </wp:positionV>
            <wp:extent cx="5690870" cy="4218305"/>
            <wp:effectExtent l="0" t="0" r="5080" b="10795"/>
            <wp:wrapNone/>
            <wp:docPr id="15" name="图片 15" descr="56283215-e780-4bbc-af5f-983138340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6283215-e780-4bbc-af5f-983138340a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0216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49228C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85709F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434BB9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C58BD8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FB3F45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492BF4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38404A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E8F83D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732D23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F85FB2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lang w:val="en-US" w:eastAsia="zh-CN"/>
        </w:rPr>
      </w:pPr>
    </w:p>
    <w:p w14:paraId="42F26F8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300355</wp:posOffset>
            </wp:positionV>
            <wp:extent cx="5640705" cy="3394075"/>
            <wp:effectExtent l="0" t="0" r="17145" b="15875"/>
            <wp:wrapNone/>
            <wp:docPr id="8" name="图片 8" descr="clipbord_177062361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lipbord_17706236169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君堂圩</w:t>
      </w:r>
    </w:p>
    <w:p w14:paraId="3ABE22D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9E96A8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2D5FE89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13717D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739D95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5C5734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251520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2AF39F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49B0A3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DA0E7F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圣堂圩</w:t>
      </w:r>
    </w:p>
    <w:p w14:paraId="2AD44D3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119380</wp:posOffset>
            </wp:positionV>
            <wp:extent cx="5641975" cy="3750310"/>
            <wp:effectExtent l="0" t="0" r="15875" b="2540"/>
            <wp:wrapNone/>
            <wp:docPr id="16" name="图片 16" descr="46e4c433-57d7-4d54-b028-8ba7c64ac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6e4c433-57d7-4d54-b028-8ba7c64acf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C5D3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386B29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89A7D2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0CFEE7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DE9E8E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2C5A434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8C4B08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434A65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DCCB05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67D7C8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0C149A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良西镇圩</w:t>
      </w:r>
    </w:p>
    <w:p w14:paraId="6EA57C1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66BA059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5D5EBE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D97702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66093D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86593A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4DECE6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D76AD2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4547F2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A0065F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DC5A10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C5C0E7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3524FCA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160655</wp:posOffset>
            </wp:positionV>
            <wp:extent cx="5535295" cy="5855970"/>
            <wp:effectExtent l="0" t="0" r="8255" b="11430"/>
            <wp:wrapNone/>
            <wp:docPr id="17" name="图片 17" descr="cd3af139-873b-4ddc-b739-ff6d840a4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3af139-873b-4ddc-b739-ff6d840a4c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2323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EE803E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A426C4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8AB7E4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1F59B4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032823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F04DEE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25C950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F23D58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F51CC6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229C40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4EB0F6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8DB64D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5F7921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7F800B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EAB8F4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E1583A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东成圩</w:t>
      </w:r>
    </w:p>
    <w:p w14:paraId="2F9A898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0B5F83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65102F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6119E2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96B53E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-123825</wp:posOffset>
            </wp:positionV>
            <wp:extent cx="4730115" cy="4531995"/>
            <wp:effectExtent l="0" t="0" r="13335" b="1905"/>
            <wp:wrapNone/>
            <wp:docPr id="18" name="图片 18" descr="a23ee753-982b-4344-bd9a-62e96d777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23ee753-982b-4344-bd9a-62e96d777bc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D3B8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53B2DB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2A462D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A3F0C7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EC6D4D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70E474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E525BA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66BF7A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B5B265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8FD6CB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87B226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BC8133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大田圩</w:t>
      </w:r>
    </w:p>
    <w:p w14:paraId="1F78A31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10160</wp:posOffset>
            </wp:positionV>
            <wp:extent cx="4745355" cy="3350260"/>
            <wp:effectExtent l="0" t="0" r="17145" b="2540"/>
            <wp:wrapNone/>
            <wp:docPr id="19" name="图片 19" descr="112c59a0-b43b-40c4-adad-f7cb8df08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2c59a0-b43b-40c4-adad-f7cb8df08ae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F8B6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FFFFB3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645CDDF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5E96BA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2A7E783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52E52F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43E6281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09C80A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1FA9DB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朗底圩</w:t>
      </w:r>
    </w:p>
    <w:p w14:paraId="5D8C67F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-182245</wp:posOffset>
            </wp:positionV>
            <wp:extent cx="5379720" cy="3137535"/>
            <wp:effectExtent l="0" t="0" r="11430" b="5715"/>
            <wp:wrapNone/>
            <wp:docPr id="11" name="图片 11" descr="clipbord_177062485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lipbord_17706248530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A957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BAE6A4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B5BD72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D59C4D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33D15DE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E2E42C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5B1F6FF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76E39F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横陂圩</w:t>
      </w:r>
    </w:p>
    <w:p w14:paraId="40C5C36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117475</wp:posOffset>
            </wp:positionV>
            <wp:extent cx="4723765" cy="4622800"/>
            <wp:effectExtent l="0" t="0" r="635" b="6350"/>
            <wp:wrapNone/>
            <wp:docPr id="21" name="图片 21" descr="8943f613-ef42-4123-bb30-acc1bcac5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943f613-ef42-4123-bb30-acc1bcac5c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3F35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28C3454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6A6C983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04845A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456CA95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80547D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52856B8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4B2DC45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0BD140E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0EC169A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0E9D4E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70AD5A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51D7B59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大槐镇圩</w:t>
      </w:r>
    </w:p>
    <w:p w14:paraId="23DF380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15CC98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A02A3E0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365367DD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AC408E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0EBAEE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3AB9F272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26DADEC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983EE4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1510988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57A7604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-3563620</wp:posOffset>
            </wp:positionV>
            <wp:extent cx="5640070" cy="3834130"/>
            <wp:effectExtent l="0" t="0" r="17780" b="13970"/>
            <wp:wrapNone/>
            <wp:docPr id="13" name="图片 13" descr="clipbord_177062508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lipbord_17706250875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2827F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那吉圩</w:t>
      </w:r>
    </w:p>
    <w:sectPr>
      <w:headerReference r:id="rId5" w:type="default"/>
      <w:footerReference r:id="rId6" w:type="default"/>
      <w:pgSz w:w="11906" w:h="16838"/>
      <w:pgMar w:top="1928" w:right="1418" w:bottom="1814" w:left="1588" w:header="1361" w:footer="1276" w:gutter="0"/>
      <w:cols w:space="0" w:num="1"/>
      <w:rtlGutter w:val="0"/>
      <w:docGrid w:type="linesAndChars" w:linePitch="592" w:charSpace="-43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82AD8">
    <w:pPr>
      <w:pStyle w:val="15"/>
      <w:framePr w:wrap="around" w:vAnchor="text" w:hAnchor="margin" w:xAlign="outside" w:y="1"/>
      <w:rPr>
        <w:rStyle w:val="25"/>
        <w:b/>
        <w:color w:val="FFFFFF"/>
        <w:sz w:val="28"/>
        <w:szCs w:val="28"/>
      </w:rPr>
    </w:pPr>
    <w:r>
      <w:rPr>
        <w:rStyle w:val="25"/>
        <w:rFonts w:hint="eastAsia"/>
        <w:b/>
        <w:color w:val="FFFFFF"/>
        <w:sz w:val="28"/>
        <w:szCs w:val="28"/>
      </w:rPr>
      <w:t>—</w:t>
    </w:r>
    <w:r>
      <w:rPr>
        <w:rStyle w:val="25"/>
        <w:rFonts w:hint="eastAsia"/>
        <w:b/>
        <w:sz w:val="28"/>
        <w:szCs w:val="28"/>
      </w:rPr>
      <w:t xml:space="preserve">— </w:t>
    </w:r>
    <w:r>
      <w:rPr>
        <w:rStyle w:val="25"/>
        <w:sz w:val="28"/>
        <w:szCs w:val="28"/>
      </w:rPr>
      <w:fldChar w:fldCharType="begin"/>
    </w:r>
    <w:r>
      <w:rPr>
        <w:rStyle w:val="25"/>
        <w:sz w:val="28"/>
        <w:szCs w:val="28"/>
      </w:rPr>
      <w:instrText xml:space="preserve">PAGE  </w:instrText>
    </w:r>
    <w:r>
      <w:rPr>
        <w:rStyle w:val="25"/>
        <w:sz w:val="28"/>
        <w:szCs w:val="28"/>
      </w:rPr>
      <w:fldChar w:fldCharType="separate"/>
    </w:r>
    <w:r>
      <w:rPr>
        <w:rStyle w:val="25"/>
        <w:sz w:val="28"/>
        <w:szCs w:val="28"/>
      </w:rPr>
      <w:t>8</w:t>
    </w:r>
    <w:r>
      <w:rPr>
        <w:rStyle w:val="25"/>
        <w:sz w:val="28"/>
        <w:szCs w:val="28"/>
      </w:rPr>
      <w:fldChar w:fldCharType="end"/>
    </w:r>
    <w:r>
      <w:rPr>
        <w:rStyle w:val="25"/>
        <w:rFonts w:hint="eastAsia"/>
        <w:b/>
        <w:sz w:val="28"/>
        <w:szCs w:val="28"/>
      </w:rPr>
      <w:t xml:space="preserve"> —</w:t>
    </w:r>
    <w:r>
      <w:rPr>
        <w:rStyle w:val="25"/>
        <w:rFonts w:hint="eastAsia"/>
        <w:b/>
        <w:color w:val="FFFFFF"/>
        <w:sz w:val="28"/>
        <w:szCs w:val="28"/>
      </w:rPr>
      <w:t>—</w:t>
    </w:r>
  </w:p>
  <w:p w14:paraId="61F14212">
    <w:pPr>
      <w:pStyle w:val="1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7E64D">
    <w:pPr>
      <w:pStyle w:val="1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4"/>
  <w:drawingGridVerticalSpacing w:val="29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wZmFjNDdiMTc0MmU4NjI3NTQ4MTIyODg5ZjQ4ZjAifQ=="/>
  </w:docVars>
  <w:rsids>
    <w:rsidRoot w:val="0091471F"/>
    <w:rsid w:val="0000096C"/>
    <w:rsid w:val="000E01CE"/>
    <w:rsid w:val="000E0773"/>
    <w:rsid w:val="00170D74"/>
    <w:rsid w:val="00170FB6"/>
    <w:rsid w:val="001C4648"/>
    <w:rsid w:val="001D5415"/>
    <w:rsid w:val="00267224"/>
    <w:rsid w:val="003353C3"/>
    <w:rsid w:val="00362F65"/>
    <w:rsid w:val="003C6A28"/>
    <w:rsid w:val="003D2D13"/>
    <w:rsid w:val="003F0BCF"/>
    <w:rsid w:val="0042462F"/>
    <w:rsid w:val="004706F6"/>
    <w:rsid w:val="0048683A"/>
    <w:rsid w:val="004B2D36"/>
    <w:rsid w:val="004C5B40"/>
    <w:rsid w:val="004E4F8D"/>
    <w:rsid w:val="005D3068"/>
    <w:rsid w:val="005E46FD"/>
    <w:rsid w:val="00600E52"/>
    <w:rsid w:val="00641B32"/>
    <w:rsid w:val="00695772"/>
    <w:rsid w:val="006E17E2"/>
    <w:rsid w:val="006F2F06"/>
    <w:rsid w:val="006F5697"/>
    <w:rsid w:val="007000FF"/>
    <w:rsid w:val="0070097B"/>
    <w:rsid w:val="00777A9A"/>
    <w:rsid w:val="00785C13"/>
    <w:rsid w:val="007A31FC"/>
    <w:rsid w:val="007C19A7"/>
    <w:rsid w:val="007C44C3"/>
    <w:rsid w:val="007E0BA9"/>
    <w:rsid w:val="00843122"/>
    <w:rsid w:val="008D0B86"/>
    <w:rsid w:val="008D79DA"/>
    <w:rsid w:val="0091471F"/>
    <w:rsid w:val="0095034A"/>
    <w:rsid w:val="00953C7A"/>
    <w:rsid w:val="009D0951"/>
    <w:rsid w:val="00A237C2"/>
    <w:rsid w:val="00AA4485"/>
    <w:rsid w:val="00B617D8"/>
    <w:rsid w:val="00BC4064"/>
    <w:rsid w:val="00BE6E77"/>
    <w:rsid w:val="00C11777"/>
    <w:rsid w:val="00C31D77"/>
    <w:rsid w:val="00C449D5"/>
    <w:rsid w:val="00C904ED"/>
    <w:rsid w:val="00CA0488"/>
    <w:rsid w:val="00CA0871"/>
    <w:rsid w:val="00CE063E"/>
    <w:rsid w:val="00DC1DBC"/>
    <w:rsid w:val="00DE5A1A"/>
    <w:rsid w:val="00E32516"/>
    <w:rsid w:val="00EC40D2"/>
    <w:rsid w:val="00EC73DC"/>
    <w:rsid w:val="00F2395D"/>
    <w:rsid w:val="00F64E75"/>
    <w:rsid w:val="00F7597A"/>
    <w:rsid w:val="00F873D7"/>
    <w:rsid w:val="00FC218F"/>
    <w:rsid w:val="05D55F1F"/>
    <w:rsid w:val="064222D0"/>
    <w:rsid w:val="07FB36A6"/>
    <w:rsid w:val="0B7B44EC"/>
    <w:rsid w:val="0CF93077"/>
    <w:rsid w:val="0D5A2878"/>
    <w:rsid w:val="0F6639D3"/>
    <w:rsid w:val="0FCA7ED1"/>
    <w:rsid w:val="10BD6382"/>
    <w:rsid w:val="10DE233C"/>
    <w:rsid w:val="16321C77"/>
    <w:rsid w:val="168057FD"/>
    <w:rsid w:val="16B335E3"/>
    <w:rsid w:val="1B9302E5"/>
    <w:rsid w:val="1BBD091F"/>
    <w:rsid w:val="1CD7383A"/>
    <w:rsid w:val="1D0C28B4"/>
    <w:rsid w:val="1EB33EEA"/>
    <w:rsid w:val="214C62A1"/>
    <w:rsid w:val="225443E0"/>
    <w:rsid w:val="235A4C09"/>
    <w:rsid w:val="23710DBF"/>
    <w:rsid w:val="268E60F7"/>
    <w:rsid w:val="280753DC"/>
    <w:rsid w:val="28786C24"/>
    <w:rsid w:val="2A25395C"/>
    <w:rsid w:val="2B520548"/>
    <w:rsid w:val="2D221CC2"/>
    <w:rsid w:val="2FCF47FC"/>
    <w:rsid w:val="30BD3260"/>
    <w:rsid w:val="318601E4"/>
    <w:rsid w:val="31F74931"/>
    <w:rsid w:val="32001619"/>
    <w:rsid w:val="32546D64"/>
    <w:rsid w:val="369F70A9"/>
    <w:rsid w:val="377F2AD5"/>
    <w:rsid w:val="378B18EA"/>
    <w:rsid w:val="39A87194"/>
    <w:rsid w:val="3A026FF3"/>
    <w:rsid w:val="3A615328"/>
    <w:rsid w:val="3AF5504C"/>
    <w:rsid w:val="3C12749A"/>
    <w:rsid w:val="3CC2183C"/>
    <w:rsid w:val="3D843BB0"/>
    <w:rsid w:val="3EE22E63"/>
    <w:rsid w:val="3FAA7F0D"/>
    <w:rsid w:val="40FF07E3"/>
    <w:rsid w:val="41C362F6"/>
    <w:rsid w:val="42A37C2D"/>
    <w:rsid w:val="43D45F57"/>
    <w:rsid w:val="43D84376"/>
    <w:rsid w:val="4977387B"/>
    <w:rsid w:val="4B3E6C85"/>
    <w:rsid w:val="4CC72AFC"/>
    <w:rsid w:val="4CD07524"/>
    <w:rsid w:val="50514152"/>
    <w:rsid w:val="50C74AFB"/>
    <w:rsid w:val="51081A4A"/>
    <w:rsid w:val="51954DCC"/>
    <w:rsid w:val="530A434B"/>
    <w:rsid w:val="53A33245"/>
    <w:rsid w:val="54297BF9"/>
    <w:rsid w:val="546630E1"/>
    <w:rsid w:val="55882160"/>
    <w:rsid w:val="56CD6F74"/>
    <w:rsid w:val="59260117"/>
    <w:rsid w:val="5AC351AE"/>
    <w:rsid w:val="5BFF66CC"/>
    <w:rsid w:val="5CF933B4"/>
    <w:rsid w:val="5D210677"/>
    <w:rsid w:val="5D3121C7"/>
    <w:rsid w:val="5E26750F"/>
    <w:rsid w:val="5E2A561C"/>
    <w:rsid w:val="5ED549F0"/>
    <w:rsid w:val="605B5CCE"/>
    <w:rsid w:val="605E31AF"/>
    <w:rsid w:val="60CB21A4"/>
    <w:rsid w:val="62BC725B"/>
    <w:rsid w:val="63B0179C"/>
    <w:rsid w:val="641B7D10"/>
    <w:rsid w:val="6457430E"/>
    <w:rsid w:val="64E57365"/>
    <w:rsid w:val="67111E16"/>
    <w:rsid w:val="677448D9"/>
    <w:rsid w:val="67832650"/>
    <w:rsid w:val="68527E9B"/>
    <w:rsid w:val="686851DE"/>
    <w:rsid w:val="6A6E2E5A"/>
    <w:rsid w:val="6AF503DD"/>
    <w:rsid w:val="6C2710D0"/>
    <w:rsid w:val="6E2A7E6E"/>
    <w:rsid w:val="70807521"/>
    <w:rsid w:val="71010D74"/>
    <w:rsid w:val="71D400BF"/>
    <w:rsid w:val="750E434A"/>
    <w:rsid w:val="766C04D6"/>
    <w:rsid w:val="77067D67"/>
    <w:rsid w:val="798058E5"/>
    <w:rsid w:val="7A861953"/>
    <w:rsid w:val="7ADC59C4"/>
    <w:rsid w:val="7C2B4268"/>
    <w:rsid w:val="7F5E000E"/>
    <w:rsid w:val="7F7B6EB5"/>
    <w:rsid w:val="7FFC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kern w:val="0"/>
      <w:sz w:val="28"/>
      <w:szCs w:val="28"/>
      <w:lang w:eastAsia="en-US" w:bidi="en-US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1"/>
    </w:pPr>
    <w:rPr>
      <w:rFonts w:asciiTheme="majorHAnsi" w:hAnsiTheme="majorHAnsi" w:eastAsiaTheme="majorEastAsia" w:cstheme="majorBidi"/>
      <w:b/>
      <w:bCs/>
      <w:color w:val="4F81BD" w:themeColor="accent1"/>
      <w:kern w:val="0"/>
      <w:sz w:val="26"/>
      <w:szCs w:val="26"/>
      <w:lang w:eastAsia="en-US" w:bidi="en-US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30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2"/>
    </w:pPr>
    <w:rPr>
      <w:rFonts w:asciiTheme="majorHAnsi" w:hAnsiTheme="majorHAnsi" w:eastAsiaTheme="majorEastAsia" w:cstheme="majorBidi"/>
      <w:b/>
      <w:bCs/>
      <w:color w:val="4F81BD" w:themeColor="accent1"/>
      <w:kern w:val="0"/>
      <w:sz w:val="22"/>
      <w:szCs w:val="22"/>
      <w:lang w:eastAsia="en-US" w:bidi="en-US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31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:kern w:val="0"/>
      <w:sz w:val="22"/>
      <w:szCs w:val="22"/>
      <w:lang w:eastAsia="en-US" w:bidi="en-US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2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4"/>
    </w:pPr>
    <w:rPr>
      <w:rFonts w:asciiTheme="majorHAnsi" w:hAnsiTheme="majorHAnsi" w:eastAsiaTheme="majorEastAsia" w:cstheme="majorBidi"/>
      <w:color w:val="254061" w:themeColor="accent1" w:themeShade="80"/>
      <w:kern w:val="0"/>
      <w:sz w:val="22"/>
      <w:szCs w:val="22"/>
      <w:lang w:eastAsia="en-US" w:bidi="en-US"/>
    </w:rPr>
  </w:style>
  <w:style w:type="paragraph" w:styleId="7">
    <w:name w:val="heading 6"/>
    <w:basedOn w:val="1"/>
    <w:next w:val="1"/>
    <w:link w:val="33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  <w:kern w:val="0"/>
      <w:sz w:val="22"/>
      <w:szCs w:val="22"/>
      <w:lang w:eastAsia="en-US" w:bidi="en-US"/>
    </w:rPr>
  </w:style>
  <w:style w:type="paragraph" w:styleId="8">
    <w:name w:val="heading 7"/>
    <w:basedOn w:val="1"/>
    <w:next w:val="1"/>
    <w:link w:val="34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kern w:val="0"/>
      <w:sz w:val="22"/>
      <w:szCs w:val="22"/>
      <w:lang w:eastAsia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35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7"/>
    </w:pPr>
    <w:rPr>
      <w:rFonts w:asciiTheme="majorHAnsi" w:hAnsiTheme="majorHAnsi" w:eastAsiaTheme="majorEastAsia" w:cstheme="majorBidi"/>
      <w:color w:val="4F81BD" w:themeColor="accent1"/>
      <w:kern w:val="0"/>
      <w:sz w:val="20"/>
      <w:szCs w:val="20"/>
      <w:lang w:eastAsia="en-US" w:bidi="en-US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36"/>
    <w:semiHidden/>
    <w:unhideWhenUsed/>
    <w:qFormat/>
    <w:uiPriority w:val="9"/>
    <w:pPr>
      <w:keepNext/>
      <w:keepLines/>
      <w:widowControl/>
      <w:spacing w:before="200" w:line="276" w:lineRule="auto"/>
      <w:jc w:val="left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kern w:val="0"/>
      <w:sz w:val="20"/>
      <w:szCs w:val="20"/>
      <w:lang w:eastAsia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widowControl/>
      <w:spacing w:after="200"/>
      <w:jc w:val="left"/>
    </w:pPr>
    <w:rPr>
      <w:rFonts w:asciiTheme="minorHAnsi" w:hAnsiTheme="minorHAnsi" w:eastAsiaTheme="minorEastAsia" w:cstheme="minorBidi"/>
      <w:b/>
      <w:bCs/>
      <w:color w:val="4F81BD" w:themeColor="accent1"/>
      <w:kern w:val="0"/>
      <w:sz w:val="18"/>
      <w:szCs w:val="18"/>
      <w:lang w:eastAsia="en-US" w:bidi="en-US"/>
      <w14:textFill>
        <w14:solidFill>
          <w14:schemeClr w14:val="accent1"/>
        </w14:solidFill>
      </w14:textFill>
    </w:rPr>
  </w:style>
  <w:style w:type="paragraph" w:styleId="12">
    <w:name w:val="Body Text"/>
    <w:basedOn w:val="1"/>
    <w:semiHidden/>
    <w:qFormat/>
    <w:uiPriority w:val="0"/>
    <w:rPr>
      <w:rFonts w:ascii="Arial" w:hAnsi="Arial" w:eastAsia="Arial" w:cs="Arial"/>
      <w:sz w:val="26"/>
      <w:szCs w:val="26"/>
      <w:lang w:val="en-US" w:eastAsia="en-US" w:bidi="ar-SA"/>
    </w:rPr>
  </w:style>
  <w:style w:type="paragraph" w:styleId="13">
    <w:name w:val="Plain Text"/>
    <w:basedOn w:val="1"/>
    <w:unhideWhenUsed/>
    <w:qFormat/>
    <w:uiPriority w:val="0"/>
    <w:rPr>
      <w:rFonts w:ascii="宋体" w:hAnsi="Courier New" w:eastAsia="宋体" w:cs="Courier New"/>
      <w:sz w:val="21"/>
      <w:szCs w:val="21"/>
    </w:rPr>
  </w:style>
  <w:style w:type="paragraph" w:styleId="14">
    <w:name w:val="Date"/>
    <w:basedOn w:val="1"/>
    <w:next w:val="1"/>
    <w:link w:val="52"/>
    <w:qFormat/>
    <w:uiPriority w:val="0"/>
    <w:pPr>
      <w:ind w:left="100" w:leftChars="2500"/>
    </w:pPr>
  </w:style>
  <w:style w:type="paragraph" w:styleId="15">
    <w:name w:val="footer"/>
    <w:basedOn w:val="1"/>
    <w:link w:val="27"/>
    <w:qFormat/>
    <w:uiPriority w:val="99"/>
    <w:pPr>
      <w:widowControl/>
      <w:tabs>
        <w:tab w:val="center" w:pos="4153"/>
        <w:tab w:val="right" w:pos="8306"/>
      </w:tabs>
      <w:snapToGrid w:val="0"/>
      <w:spacing w:after="200" w:line="276" w:lineRule="auto"/>
      <w:jc w:val="left"/>
    </w:pPr>
    <w:rPr>
      <w:rFonts w:asciiTheme="minorHAnsi" w:hAnsiTheme="minorHAnsi" w:eastAsiaTheme="minorEastAsia" w:cstheme="minorBidi"/>
      <w:kern w:val="0"/>
      <w:sz w:val="18"/>
      <w:szCs w:val="18"/>
      <w:lang w:eastAsia="en-US" w:bidi="en-US"/>
    </w:rPr>
  </w:style>
  <w:style w:type="paragraph" w:styleId="16">
    <w:name w:val="header"/>
    <w:basedOn w:val="1"/>
    <w:qFormat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asciiTheme="minorHAnsi" w:hAnsiTheme="minorHAnsi" w:eastAsiaTheme="minorEastAsia" w:cstheme="minorBidi"/>
      <w:kern w:val="0"/>
      <w:sz w:val="18"/>
      <w:szCs w:val="18"/>
      <w:lang w:eastAsia="en-US" w:bidi="en-US"/>
    </w:rPr>
  </w:style>
  <w:style w:type="paragraph" w:styleId="17">
    <w:name w:val="Subtitle"/>
    <w:basedOn w:val="1"/>
    <w:next w:val="1"/>
    <w:link w:val="38"/>
    <w:qFormat/>
    <w:uiPriority w:val="11"/>
    <w:pPr>
      <w:widowControl/>
      <w:spacing w:after="200" w:line="276" w:lineRule="auto"/>
      <w:jc w:val="left"/>
    </w:pPr>
    <w:rPr>
      <w:rFonts w:asciiTheme="majorHAnsi" w:hAnsiTheme="majorHAnsi" w:eastAsiaTheme="majorEastAsia" w:cstheme="majorBidi"/>
      <w:i/>
      <w:iCs/>
      <w:color w:val="4F81BD" w:themeColor="accent1"/>
      <w:spacing w:val="15"/>
      <w:kern w:val="0"/>
      <w:sz w:val="24"/>
      <w:lang w:eastAsia="en-US" w:bidi="en-US"/>
      <w14:textFill>
        <w14:solidFill>
          <w14:schemeClr w14:val="accent1"/>
        </w14:solidFill>
      </w14:textFill>
    </w:rPr>
  </w:style>
  <w:style w:type="paragraph" w:styleId="1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37"/>
    <w:qFormat/>
    <w:uiPriority w:val="10"/>
    <w:pPr>
      <w:widowControl/>
      <w:pBdr>
        <w:bottom w:val="single" w:color="4F81BD" w:themeColor="accent1" w:sz="8" w:space="4"/>
      </w:pBdr>
      <w:spacing w:after="300"/>
      <w:contextualSpacing/>
      <w:jc w:val="left"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eastAsia="en-US" w:bidi="en-US"/>
    </w:rPr>
  </w:style>
  <w:style w:type="paragraph" w:styleId="20">
    <w:name w:val="Body Text First Indent 2"/>
    <w:basedOn w:val="12"/>
    <w:next w:val="1"/>
    <w:qFormat/>
    <w:uiPriority w:val="0"/>
    <w:pPr>
      <w:ind w:firstLine="420" w:firstLineChars="200"/>
      <w:jc w:val="left"/>
    </w:pPr>
    <w:rPr>
      <w:rFonts w:ascii="方正仿宋_GBK" w:hAnsi="方正仿宋_GBK" w:eastAsia="方正仿宋_GBK" w:cs="Times New Roman"/>
      <w:bCs/>
      <w:sz w:val="32"/>
    </w:rPr>
  </w:style>
  <w:style w:type="table" w:styleId="22">
    <w:name w:val="Table Grid"/>
    <w:basedOn w:val="21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4">
    <w:name w:val="Strong"/>
    <w:basedOn w:val="23"/>
    <w:qFormat/>
    <w:uiPriority w:val="22"/>
    <w:rPr>
      <w:b/>
      <w:bCs/>
    </w:rPr>
  </w:style>
  <w:style w:type="character" w:styleId="25">
    <w:name w:val="page number"/>
    <w:basedOn w:val="23"/>
    <w:qFormat/>
    <w:uiPriority w:val="0"/>
  </w:style>
  <w:style w:type="character" w:styleId="26">
    <w:name w:val="Emphasis"/>
    <w:basedOn w:val="23"/>
    <w:qFormat/>
    <w:uiPriority w:val="20"/>
    <w:rPr>
      <w:i/>
      <w:iCs/>
    </w:rPr>
  </w:style>
  <w:style w:type="character" w:customStyle="1" w:styleId="27">
    <w:name w:val="页脚 Char"/>
    <w:basedOn w:val="23"/>
    <w:link w:val="15"/>
    <w:qFormat/>
    <w:uiPriority w:val="99"/>
    <w:rPr>
      <w:rFonts w:eastAsia="仿宋_GB2312"/>
      <w:kern w:val="2"/>
      <w:sz w:val="18"/>
      <w:szCs w:val="18"/>
    </w:rPr>
  </w:style>
  <w:style w:type="character" w:customStyle="1" w:styleId="28">
    <w:name w:val="标题 1 Char"/>
    <w:basedOn w:val="2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29">
    <w:name w:val="标题 2 Char"/>
    <w:basedOn w:val="23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30">
    <w:name w:val="标题 3 Char"/>
    <w:basedOn w:val="23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1">
    <w:name w:val="标题 4 Char"/>
    <w:basedOn w:val="23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2">
    <w:name w:val="标题 5 Char"/>
    <w:basedOn w:val="23"/>
    <w:link w:val="6"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33">
    <w:name w:val="标题 6 Char"/>
    <w:basedOn w:val="23"/>
    <w:link w:val="7"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34">
    <w:name w:val="标题 7 Char"/>
    <w:basedOn w:val="23"/>
    <w:link w:val="8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标题 8 Char"/>
    <w:basedOn w:val="23"/>
    <w:link w:val="9"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36">
    <w:name w:val="标题 9 Char"/>
    <w:basedOn w:val="23"/>
    <w:link w:val="10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7">
    <w:name w:val="标题 Char"/>
    <w:basedOn w:val="23"/>
    <w:link w:val="19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38">
    <w:name w:val="副标题 Char"/>
    <w:basedOn w:val="23"/>
    <w:link w:val="1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39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40">
    <w:name w:val="List Paragraph"/>
    <w:basedOn w:val="1"/>
    <w:qFormat/>
    <w:uiPriority w:val="34"/>
    <w:pPr>
      <w:widowControl/>
      <w:spacing w:after="200" w:line="276" w:lineRule="auto"/>
      <w:ind w:left="720"/>
      <w:contextualSpacing/>
      <w:jc w:val="left"/>
    </w:pPr>
    <w:rPr>
      <w:rFonts w:asciiTheme="minorHAnsi" w:hAnsiTheme="minorHAnsi" w:eastAsiaTheme="minorEastAsia" w:cstheme="minorBidi"/>
      <w:kern w:val="0"/>
      <w:sz w:val="22"/>
      <w:szCs w:val="22"/>
      <w:lang w:eastAsia="en-US" w:bidi="en-US"/>
    </w:rPr>
  </w:style>
  <w:style w:type="paragraph" w:styleId="41">
    <w:name w:val="Quote"/>
    <w:basedOn w:val="1"/>
    <w:next w:val="1"/>
    <w:link w:val="42"/>
    <w:qFormat/>
    <w:uiPriority w:val="29"/>
    <w:pPr>
      <w:widowControl/>
      <w:spacing w:after="200" w:line="276" w:lineRule="auto"/>
      <w:jc w:val="left"/>
    </w:pPr>
    <w:rPr>
      <w:rFonts w:asciiTheme="minorHAnsi" w:hAnsiTheme="minorHAnsi" w:eastAsiaTheme="minorEastAsia" w:cstheme="minorBidi"/>
      <w:i/>
      <w:iCs/>
      <w:color w:val="000000" w:themeColor="text1"/>
      <w:kern w:val="0"/>
      <w:sz w:val="22"/>
      <w:szCs w:val="22"/>
      <w:lang w:eastAsia="en-US" w:bidi="en-US"/>
      <w14:textFill>
        <w14:solidFill>
          <w14:schemeClr w14:val="tx1"/>
        </w14:solidFill>
      </w14:textFill>
    </w:rPr>
  </w:style>
  <w:style w:type="character" w:customStyle="1" w:styleId="42">
    <w:name w:val="引用 Char"/>
    <w:basedOn w:val="23"/>
    <w:link w:val="4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43">
    <w:name w:val="Intense Quote"/>
    <w:basedOn w:val="1"/>
    <w:next w:val="1"/>
    <w:link w:val="44"/>
    <w:qFormat/>
    <w:uiPriority w:val="30"/>
    <w:pPr>
      <w:widowControl/>
      <w:pBdr>
        <w:bottom w:val="single" w:color="4F81BD" w:themeColor="accent1" w:sz="4" w:space="4"/>
      </w:pBdr>
      <w:spacing w:before="200" w:after="280" w:line="276" w:lineRule="auto"/>
      <w:ind w:left="936" w:right="936"/>
      <w:jc w:val="left"/>
    </w:pPr>
    <w:rPr>
      <w:rFonts w:asciiTheme="minorHAnsi" w:hAnsiTheme="minorHAnsi" w:eastAsiaTheme="minorEastAsia" w:cstheme="minorBidi"/>
      <w:b/>
      <w:bCs/>
      <w:i/>
      <w:iCs/>
      <w:color w:val="4F81BD" w:themeColor="accent1"/>
      <w:kern w:val="0"/>
      <w:sz w:val="22"/>
      <w:szCs w:val="22"/>
      <w:lang w:eastAsia="en-US" w:bidi="en-US"/>
      <w14:textFill>
        <w14:solidFill>
          <w14:schemeClr w14:val="accent1"/>
        </w14:solidFill>
      </w14:textFill>
    </w:rPr>
  </w:style>
  <w:style w:type="character" w:customStyle="1" w:styleId="44">
    <w:name w:val="明显引用 Char"/>
    <w:basedOn w:val="23"/>
    <w:link w:val="43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5">
    <w:name w:val="Subtle Emphasis"/>
    <w:basedOn w:val="2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6">
    <w:name w:val="Intense Emphasis"/>
    <w:basedOn w:val="23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7">
    <w:name w:val="Subtle Reference"/>
    <w:basedOn w:val="23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48">
    <w:name w:val="Intense Reference"/>
    <w:basedOn w:val="23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9">
    <w:name w:val="Book Title"/>
    <w:basedOn w:val="23"/>
    <w:qFormat/>
    <w:uiPriority w:val="33"/>
    <w:rPr>
      <w:b/>
      <w:bCs/>
      <w:smallCaps/>
      <w:spacing w:val="5"/>
    </w:rPr>
  </w:style>
  <w:style w:type="paragraph" w:customStyle="1" w:styleId="50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customStyle="1" w:styleId="51">
    <w:name w:val="p0"/>
    <w:basedOn w:val="1"/>
    <w:qFormat/>
    <w:uiPriority w:val="0"/>
    <w:pPr>
      <w:widowControl/>
    </w:pPr>
    <w:rPr>
      <w:rFonts w:hint="eastAsia"/>
    </w:rPr>
  </w:style>
  <w:style w:type="character" w:customStyle="1" w:styleId="52">
    <w:name w:val="日期 Char"/>
    <w:basedOn w:val="23"/>
    <w:link w:val="14"/>
    <w:qFormat/>
    <w:uiPriority w:val="0"/>
    <w:rPr>
      <w:rFonts w:ascii="Times New Roman" w:hAnsi="Times New Roman" w:eastAsia="宋体" w:cs="Times New Roman"/>
      <w:kern w:val="2"/>
      <w:sz w:val="21"/>
      <w:szCs w:val="24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3153</Words>
  <Characters>3278</Characters>
  <Lines>20</Lines>
  <Paragraphs>5</Paragraphs>
  <TotalTime>39</TotalTime>
  <ScaleCrop>false</ScaleCrop>
  <LinksUpToDate>false</LinksUpToDate>
  <CharactersWithSpaces>3540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2020-06-22T02:06:00Z</dcterms:created>
  <dc:creator>Microsoft</dc:creator>
  <cp:lastModifiedBy>Daphne</cp:lastModifiedBy>
  <cp:lastPrinted>2026-04-02T02:22:00Z</cp:lastPrinted>
  <dcterms:modified xsi:type="dcterms:W3CDTF">2026-04-21T03:26:00Z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AD27FA625DB440DAB4BB4D5FC0AB9157_13</vt:lpwstr>
  </property>
  <property fmtid="{D5CDD505-2E9C-101B-9397-08002B2CF9AE}" pid="4" name="KSOTemplateDocerSaveRecord">
    <vt:lpwstr>eyJoZGlkIjoiYTk1NDU5YzJmNTdmOTVkZTU3MmY5ZDc1ZGI5NTczZWEiLCJ1c2VySWQiOiIyNDYyNDcyNDAifQ==</vt:lpwstr>
  </property>
</Properties>
</file>