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5D73">
      <w:pPr>
        <w:spacing w:line="576" w:lineRule="exact"/>
        <w:rPr>
          <w:rFonts w:ascii="黑体" w:hAnsi="黑体" w:eastAsia="黑体"/>
          <w:sz w:val="32"/>
          <w:szCs w:val="32"/>
        </w:rPr>
      </w:pPr>
      <w:bookmarkStart w:id="37" w:name="_GoBack"/>
      <w:bookmarkEnd w:id="37"/>
      <w:r>
        <w:rPr>
          <w:rFonts w:hint="eastAsia" w:ascii="黑体" w:hAnsi="黑体" w:eastAsia="黑体"/>
          <w:sz w:val="32"/>
          <w:szCs w:val="32"/>
        </w:rPr>
        <w:t>附件</w:t>
      </w:r>
    </w:p>
    <w:p w14:paraId="1D3BA33E">
      <w:pPr>
        <w:spacing w:line="576" w:lineRule="exact"/>
        <w:rPr>
          <w:rFonts w:ascii="仿宋" w:hAnsi="仿宋" w:eastAsia="仿宋"/>
          <w:sz w:val="32"/>
          <w:szCs w:val="32"/>
        </w:rPr>
      </w:pPr>
    </w:p>
    <w:p w14:paraId="7C2498D6">
      <w:pPr>
        <w:adjustRightInd w:val="0"/>
        <w:snapToGrid w:val="0"/>
        <w:spacing w:line="576" w:lineRule="exact"/>
        <w:jc w:val="center"/>
        <w:rPr>
          <w:rFonts w:ascii="方正小标宋简体" w:hAnsi="方正小标宋_GBK" w:eastAsia="方正小标宋简体" w:cs="方正小标宋_GBK"/>
          <w:bCs/>
          <w:snapToGrid w:val="0"/>
          <w:color w:val="000000"/>
          <w:sz w:val="44"/>
          <w:szCs w:val="44"/>
        </w:rPr>
      </w:pPr>
      <w:bookmarkStart w:id="0" w:name="OLE_LINK1"/>
      <w:bookmarkStart w:id="1" w:name="OLE_LINK3"/>
      <w:bookmarkStart w:id="2" w:name="OLE_LINK2"/>
      <w:r>
        <w:rPr>
          <w:rFonts w:hint="eastAsia" w:ascii="方正小标宋简体" w:hAnsi="方正小标宋_GBK" w:eastAsia="方正小标宋简体" w:cs="方正小标宋_GBK"/>
          <w:bCs/>
          <w:snapToGrid w:val="0"/>
          <w:color w:val="000000"/>
          <w:sz w:val="44"/>
          <w:szCs w:val="44"/>
        </w:rPr>
        <w:t>恩平市促进科技创新发展扶持办法</w:t>
      </w:r>
    </w:p>
    <w:p w14:paraId="2528F44A">
      <w:pPr>
        <w:adjustRightInd w:val="0"/>
        <w:snapToGrid w:val="0"/>
        <w:spacing w:line="576" w:lineRule="exact"/>
        <w:jc w:val="center"/>
        <w:rPr>
          <w:rFonts w:ascii="楷体" w:hAnsi="楷体" w:eastAsia="楷体" w:cs="方正小标宋_GBK"/>
          <w:bCs/>
          <w:snapToGrid w:val="0"/>
          <w:color w:val="000000"/>
          <w:sz w:val="32"/>
          <w:szCs w:val="32"/>
        </w:rPr>
      </w:pPr>
      <w:r>
        <w:rPr>
          <w:rFonts w:hint="eastAsia" w:ascii="楷体" w:hAnsi="楷体" w:eastAsia="楷体" w:cs="方正小标宋_GBK"/>
          <w:bCs/>
          <w:snapToGrid w:val="0"/>
          <w:color w:val="000000"/>
          <w:sz w:val="32"/>
          <w:szCs w:val="32"/>
        </w:rPr>
        <w:t>（征求意见稿）</w:t>
      </w:r>
    </w:p>
    <w:bookmarkEnd w:id="0"/>
    <w:bookmarkEnd w:id="1"/>
    <w:bookmarkEnd w:id="2"/>
    <w:p w14:paraId="31838542">
      <w:pPr>
        <w:adjustRightInd w:val="0"/>
        <w:snapToGrid w:val="0"/>
        <w:spacing w:line="576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color w:val="000000"/>
          <w:sz w:val="32"/>
          <w:szCs w:val="32"/>
        </w:rPr>
      </w:pPr>
    </w:p>
    <w:p w14:paraId="5FDFBAC9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3" w:name="OLE_LINK6"/>
      <w:bookmarkStart w:id="4" w:name="OLE_LINK7"/>
      <w:r>
        <w:rPr>
          <w:rFonts w:hint="eastAsia" w:ascii="黑体" w:hAnsi="黑体" w:eastAsia="黑体" w:cs="Times New Roman"/>
          <w:snapToGrid w:val="0"/>
          <w:sz w:val="32"/>
          <w:szCs w:val="32"/>
        </w:rPr>
        <w:t>第一条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5" w:name="OLE_LINK5"/>
      <w:bookmarkStart w:id="6" w:name="OLE_LINK4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为深入实施创新驱动发展战略，加快聚集创新资源，全力推进“科技引领”工程，发展培育新质生产力，</w:t>
      </w:r>
      <w:bookmarkEnd w:id="5"/>
      <w:bookmarkEnd w:id="6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以科技创新推动我市经济高质量发展，根据我市实际，制定本办法。</w:t>
      </w:r>
      <w:bookmarkEnd w:id="3"/>
      <w:bookmarkEnd w:id="4"/>
    </w:p>
    <w:p w14:paraId="36B97989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7" w:name="OLE_LINK34"/>
      <w:bookmarkStart w:id="8" w:name="OLE_LINK33"/>
      <w:r>
        <w:rPr>
          <w:rFonts w:hint="eastAsia" w:ascii="黑体" w:hAnsi="黑体" w:eastAsia="黑体" w:cs="Times New Roman"/>
          <w:snapToGrid w:val="0"/>
          <w:sz w:val="32"/>
          <w:szCs w:val="32"/>
        </w:rPr>
        <w:t>第二条</w:t>
      </w:r>
      <w:bookmarkEnd w:id="7"/>
      <w:bookmarkEnd w:id="8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本办法扶持范围为在恩平市内注册，具有健全的财务管理机构和财务管理制度，诚信经营、依法纳税的企事业单位、社会组织和个人。</w:t>
      </w:r>
    </w:p>
    <w:p w14:paraId="48DDCEB8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9" w:name="OLE_LINK8"/>
      <w:bookmarkStart w:id="10" w:name="OLE_LINK9"/>
      <w:bookmarkStart w:id="11" w:name="OLE_LINK29"/>
      <w:r>
        <w:rPr>
          <w:rFonts w:hint="eastAsia" w:ascii="黑体" w:hAnsi="黑体" w:eastAsia="黑体" w:cs="Times New Roman"/>
          <w:snapToGrid w:val="0"/>
          <w:sz w:val="32"/>
          <w:szCs w:val="32"/>
        </w:rPr>
        <w:t>第三条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12" w:name="OLE_LINK28"/>
      <w:bookmarkStart w:id="13" w:name="OLE_LINK27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首次被认定为国家高新技术企业的，给予最高10万元奖励。对重新认定为高新技术企业的企业，给予5万元补助。</w:t>
      </w:r>
      <w:bookmarkEnd w:id="12"/>
      <w:bookmarkEnd w:id="13"/>
    </w:p>
    <w:bookmarkEnd w:id="9"/>
    <w:bookmarkEnd w:id="10"/>
    <w:bookmarkEnd w:id="11"/>
    <w:p w14:paraId="0EF12887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14" w:name="OLE_LINK10"/>
      <w:bookmarkStart w:id="15" w:name="OLE_LINK11"/>
      <w:r>
        <w:rPr>
          <w:rFonts w:hint="eastAsia" w:ascii="黑体" w:hAnsi="黑体" w:eastAsia="黑体" w:cs="Times New Roman"/>
          <w:snapToGrid w:val="0"/>
          <w:sz w:val="32"/>
          <w:szCs w:val="32"/>
        </w:rPr>
        <w:t>第四条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对企业每认定1件广东省高新技术产品给予3000元补助，每年度每家企业补助不超过3万元。</w:t>
      </w:r>
    </w:p>
    <w:bookmarkEnd w:id="14"/>
    <w:bookmarkEnd w:id="15"/>
    <w:p w14:paraId="09ED0B99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16" w:name="OLE_LINK12"/>
      <w:bookmarkStart w:id="17" w:name="OLE_LINK13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对申请第三条、第四条补助的企业，符合《科技型中小企业评价办法》（国科发政〔2017〕115号）第六条第（一）-（四）项条件的，须进行科技型中小企业评价。</w:t>
      </w:r>
    </w:p>
    <w:bookmarkEnd w:id="16"/>
    <w:bookmarkEnd w:id="17"/>
    <w:p w14:paraId="1479AEC8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sz w:val="32"/>
          <w:szCs w:val="32"/>
        </w:rPr>
        <w:t>第五条</w:t>
      </w:r>
      <w:r>
        <w:rPr>
          <w:rFonts w:hint="eastAsia" w:ascii="仿宋_GB2312" w:hAnsi="仿宋" w:eastAsia="仿宋_GB2312" w:cs="黑体"/>
          <w:bCs/>
          <w:snapToGrid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促进孵化育成体系高质量发展，对经国家、省主管部门新认定或遴选的科技型企业孵化器（包括众创空间、科技企业孵化器、科技企业加速器、大学科技园等），分别给予60万元、40万元一次性补助。</w:t>
      </w:r>
    </w:p>
    <w:p w14:paraId="2E7A375F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sz w:val="32"/>
          <w:szCs w:val="32"/>
        </w:rPr>
        <w:t>第六条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18" w:name="OLE_LINK14"/>
      <w:bookmarkStart w:id="19" w:name="OLE_LINK15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对在国、省、市创新创业大赛中获奖、获评国家、省科技进步奖、获评“无限创新”江门科学技术奖的科技型企业，对其已偿还科技支行科技贷款利息的项目，按实际支付利息的35%给予贴息，每家企业最高贴息额为20万元。</w:t>
      </w:r>
      <w:bookmarkEnd w:id="18"/>
      <w:bookmarkEnd w:id="19"/>
    </w:p>
    <w:p w14:paraId="72566827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20" w:name="OLE_LINK30"/>
      <w:r>
        <w:rPr>
          <w:rFonts w:hint="eastAsia" w:ascii="黑体" w:hAnsi="黑体" w:eastAsia="黑体" w:cs="Times New Roman"/>
          <w:snapToGrid w:val="0"/>
          <w:sz w:val="32"/>
          <w:szCs w:val="32"/>
        </w:rPr>
        <w:t>第七条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21" w:name="OLE_LINK16"/>
      <w:bookmarkStart w:id="22" w:name="OLE_LINK17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对获得省、市科技部门认定（立项）或考核评估结果为优秀、良好等次的科技创新平台给予资助：</w:t>
      </w:r>
    </w:p>
    <w:p w14:paraId="1AB30FBE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（一）对省重点实验室，按其获得省级资助1：1给予资助，最高不超过450万元/家。</w:t>
      </w:r>
    </w:p>
    <w:p w14:paraId="5E1D6F4F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（二）对新认定的省工程技术研究中心资助不超过20万元/家。</w:t>
      </w:r>
    </w:p>
    <w:p w14:paraId="5B902D71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（三）对市重点实验室，考核评估优秀等次的资助不超过20万元/家，良好等次的资助不超过10万元/家。</w:t>
      </w:r>
    </w:p>
    <w:p w14:paraId="56422265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（四）对市科技特派员工作站，考核评估优秀等次的资助不超过5万元/家，良好等次的资助不超过3万元/家。</w:t>
      </w:r>
      <w:bookmarkEnd w:id="21"/>
      <w:bookmarkEnd w:id="22"/>
    </w:p>
    <w:bookmarkEnd w:id="20"/>
    <w:p w14:paraId="38B2AABA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bookmarkStart w:id="23" w:name="OLE_LINK31"/>
      <w:bookmarkStart w:id="24" w:name="OLE_LINK32"/>
      <w:r>
        <w:rPr>
          <w:rFonts w:hint="eastAsia" w:ascii="黑体" w:hAnsi="黑体" w:eastAsia="黑体" w:cs="Times New Roman"/>
          <w:snapToGrid w:val="0"/>
          <w:sz w:val="32"/>
          <w:szCs w:val="32"/>
        </w:rPr>
        <w:t>第八条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25" w:name="OLE_LINK19"/>
      <w:bookmarkStart w:id="26" w:name="OLE_LINK18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对获得省级以上科学技术奖前三等次的项目，对项目中排名前三个完成单位给予奖励，奖励额度按照所获奖等次的第一、二、三等次分别给予30万元、20万元、10万元的奖励。</w:t>
      </w:r>
      <w:bookmarkEnd w:id="25"/>
      <w:bookmarkEnd w:id="26"/>
    </w:p>
    <w:bookmarkEnd w:id="23"/>
    <w:bookmarkEnd w:id="24"/>
    <w:p w14:paraId="2F3318F5">
      <w:pPr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sz w:val="32"/>
          <w:szCs w:val="32"/>
        </w:rPr>
        <w:t>第九条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  <w:bookmarkStart w:id="27" w:name="OLE_LINK20"/>
      <w:bookmarkStart w:id="28" w:name="OLE_LINK21"/>
      <w:r>
        <w:rPr>
          <w:rFonts w:hint="eastAsia" w:ascii="仿宋_GB2312" w:hAnsi="仿宋" w:eastAsia="仿宋_GB2312" w:cs="Times New Roman"/>
          <w:sz w:val="32"/>
          <w:szCs w:val="32"/>
        </w:rPr>
        <w:t>鼓励企业、组织或个人参加科技创新创业大赛，激发大众创业、万众创新的新动力。对获国家级大赛前三等次的企业分别给予50万元、30万元、20万元奖励；获省级大赛前三等次的企业分别给予30万元、20万元、10万元奖励。经推荐参加并晋级国家、省、市级科技创新大赛复赛的，分别一次性给予3 万元、2 万元、1 万元费用补助。</w:t>
      </w:r>
      <w:bookmarkEnd w:id="27"/>
      <w:bookmarkEnd w:id="28"/>
    </w:p>
    <w:p w14:paraId="6720BDD7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sz w:val="32"/>
          <w:szCs w:val="32"/>
        </w:rPr>
        <w:t>第十条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29" w:name="OLE_LINK22"/>
      <w:bookmarkStart w:id="30" w:name="OLE_LINK23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本办法及与江门市、恩平市相关政策有重复、交叉的，按照“从优、从高、不重复”原则执行。本办法印发后，如上级出台同类扶持政策的，以上级最新政策要求执行。</w:t>
      </w:r>
      <w:bookmarkEnd w:id="29"/>
      <w:bookmarkEnd w:id="30"/>
    </w:p>
    <w:p w14:paraId="11554F06">
      <w:pPr>
        <w:ind w:firstLine="640" w:firstLineChars="200"/>
        <w:rPr>
          <w:rFonts w:ascii="仿宋_GB2312" w:hAnsi="仿宋" w:eastAsia="仿宋_GB2312" w:cs="Times New Roman"/>
          <w:snapToGrid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sz w:val="32"/>
          <w:szCs w:val="32"/>
        </w:rPr>
        <w:t>第十一条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31" w:name="OLE_LINK24"/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>本办法所列扶持资金额度已包含上级政策需要市本级配套的部分，扶持资金纳入市科技投入年度预算。扶持资金的申报流程按照当年申报通知执行。</w:t>
      </w:r>
      <w:bookmarkEnd w:id="31"/>
    </w:p>
    <w:p w14:paraId="19C47735">
      <w:pPr>
        <w:ind w:firstLine="640" w:firstLineChars="200"/>
        <w:rPr>
          <w:rFonts w:ascii="仿宋_GB2312" w:hAnsi="仿宋" w:eastAsia="仿宋_GB2312" w:cs="仿宋"/>
          <w:snapToGrid w:val="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第十二条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</w:t>
      </w:r>
      <w:bookmarkStart w:id="32" w:name="OLE_LINK26"/>
      <w:bookmarkStart w:id="33" w:name="OLE_LINK25"/>
      <w:bookmarkStart w:id="34" w:name="OLE_LINK100"/>
      <w:r>
        <w:rPr>
          <w:rFonts w:hint="eastAsia" w:ascii="仿宋_GB2312" w:hAnsi="仿宋" w:eastAsia="仿宋_GB2312" w:cs="仿宋"/>
          <w:snapToGrid w:val="0"/>
          <w:sz w:val="32"/>
          <w:szCs w:val="32"/>
        </w:rPr>
        <w:t>本办法自202*年*月*日起生效，有效期至202*年*月*日。</w:t>
      </w:r>
      <w:bookmarkEnd w:id="32"/>
      <w:bookmarkEnd w:id="33"/>
      <w:bookmarkEnd w:id="34"/>
    </w:p>
    <w:p w14:paraId="5C1C9EC5">
      <w:pPr>
        <w:ind w:firstLine="640" w:firstLineChars="200"/>
        <w:rPr>
          <w:rFonts w:ascii="仿宋_GB2312" w:hAnsi="仿宋" w:eastAsia="仿宋_GB2312" w:cs="仿宋"/>
          <w:snapToGrid w:val="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sz w:val="32"/>
          <w:szCs w:val="32"/>
        </w:rPr>
        <w:t>第十三条</w:t>
      </w:r>
      <w:r>
        <w:rPr>
          <w:rFonts w:hint="eastAsia" w:ascii="仿宋_GB2312" w:hAnsi="仿宋" w:eastAsia="仿宋_GB2312" w:cs="Times New Roman"/>
          <w:snapToGrid w:val="0"/>
          <w:sz w:val="32"/>
          <w:szCs w:val="32"/>
        </w:rPr>
        <w:t xml:space="preserve"> </w:t>
      </w:r>
      <w:bookmarkStart w:id="35" w:name="OLE_LINK102"/>
      <w:bookmarkStart w:id="36" w:name="OLE_LINK101"/>
      <w:r>
        <w:rPr>
          <w:rFonts w:hint="eastAsia" w:ascii="仿宋_GB2312" w:hAnsi="仿宋" w:eastAsia="仿宋_GB2312" w:cs="仿宋"/>
          <w:snapToGrid w:val="0"/>
          <w:sz w:val="32"/>
          <w:szCs w:val="32"/>
        </w:rPr>
        <w:t>本办法由市科工商务局负责解释。</w:t>
      </w:r>
      <w:bookmarkEnd w:id="35"/>
      <w:bookmarkEnd w:id="36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726883"/>
    </w:sdtPr>
    <w:sdtEndPr>
      <w:rPr>
        <w:sz w:val="28"/>
        <w:szCs w:val="28"/>
      </w:rPr>
    </w:sdtEndPr>
    <w:sdtContent>
      <w:p w14:paraId="182A9877"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14:paraId="2563E28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18"/>
    <w:rsid w:val="00005B5D"/>
    <w:rsid w:val="000120EF"/>
    <w:rsid w:val="00015CC6"/>
    <w:rsid w:val="000167D8"/>
    <w:rsid w:val="000516CD"/>
    <w:rsid w:val="00051C2A"/>
    <w:rsid w:val="00057377"/>
    <w:rsid w:val="000606FA"/>
    <w:rsid w:val="00063F16"/>
    <w:rsid w:val="000709A8"/>
    <w:rsid w:val="000751DA"/>
    <w:rsid w:val="000A765C"/>
    <w:rsid w:val="000B51F1"/>
    <w:rsid w:val="000C31B9"/>
    <w:rsid w:val="000C518C"/>
    <w:rsid w:val="000C5C4B"/>
    <w:rsid w:val="000C7C5D"/>
    <w:rsid w:val="000E0455"/>
    <w:rsid w:val="00103966"/>
    <w:rsid w:val="00105173"/>
    <w:rsid w:val="001306EB"/>
    <w:rsid w:val="00137E28"/>
    <w:rsid w:val="001672AF"/>
    <w:rsid w:val="001711DF"/>
    <w:rsid w:val="001E36D3"/>
    <w:rsid w:val="001E5DB5"/>
    <w:rsid w:val="00201477"/>
    <w:rsid w:val="00236707"/>
    <w:rsid w:val="0024145E"/>
    <w:rsid w:val="0024433B"/>
    <w:rsid w:val="00244E8C"/>
    <w:rsid w:val="00247FF5"/>
    <w:rsid w:val="00286484"/>
    <w:rsid w:val="00287AD4"/>
    <w:rsid w:val="00293222"/>
    <w:rsid w:val="002A16BF"/>
    <w:rsid w:val="002D690D"/>
    <w:rsid w:val="002E5C02"/>
    <w:rsid w:val="00301D3B"/>
    <w:rsid w:val="00312978"/>
    <w:rsid w:val="00316E9D"/>
    <w:rsid w:val="00366004"/>
    <w:rsid w:val="003777C1"/>
    <w:rsid w:val="00381D86"/>
    <w:rsid w:val="00390817"/>
    <w:rsid w:val="00393034"/>
    <w:rsid w:val="003967D5"/>
    <w:rsid w:val="003B51A8"/>
    <w:rsid w:val="003D4939"/>
    <w:rsid w:val="003E679A"/>
    <w:rsid w:val="003F6F6B"/>
    <w:rsid w:val="004035C0"/>
    <w:rsid w:val="00404B78"/>
    <w:rsid w:val="00410EDD"/>
    <w:rsid w:val="004176CF"/>
    <w:rsid w:val="0042612A"/>
    <w:rsid w:val="00437E45"/>
    <w:rsid w:val="00457521"/>
    <w:rsid w:val="004670D6"/>
    <w:rsid w:val="004711CE"/>
    <w:rsid w:val="00477AFA"/>
    <w:rsid w:val="0048266E"/>
    <w:rsid w:val="004B127C"/>
    <w:rsid w:val="004F31A5"/>
    <w:rsid w:val="00504566"/>
    <w:rsid w:val="0055611F"/>
    <w:rsid w:val="00567583"/>
    <w:rsid w:val="00572A9F"/>
    <w:rsid w:val="005A4204"/>
    <w:rsid w:val="005A592B"/>
    <w:rsid w:val="005C011E"/>
    <w:rsid w:val="005C2D79"/>
    <w:rsid w:val="005C3A43"/>
    <w:rsid w:val="005C4423"/>
    <w:rsid w:val="005C47EC"/>
    <w:rsid w:val="005F3F1C"/>
    <w:rsid w:val="006138B6"/>
    <w:rsid w:val="00630548"/>
    <w:rsid w:val="00637336"/>
    <w:rsid w:val="0065026E"/>
    <w:rsid w:val="00660778"/>
    <w:rsid w:val="00683AC1"/>
    <w:rsid w:val="0069173F"/>
    <w:rsid w:val="00694474"/>
    <w:rsid w:val="006B72AA"/>
    <w:rsid w:val="006C67E2"/>
    <w:rsid w:val="006E5DDF"/>
    <w:rsid w:val="006E6F94"/>
    <w:rsid w:val="00701901"/>
    <w:rsid w:val="00701A87"/>
    <w:rsid w:val="007179B6"/>
    <w:rsid w:val="00724AC2"/>
    <w:rsid w:val="007308B2"/>
    <w:rsid w:val="00733C40"/>
    <w:rsid w:val="00755E7D"/>
    <w:rsid w:val="007650DF"/>
    <w:rsid w:val="00765E41"/>
    <w:rsid w:val="00775E8A"/>
    <w:rsid w:val="0078613E"/>
    <w:rsid w:val="007A02BE"/>
    <w:rsid w:val="007B27AA"/>
    <w:rsid w:val="007D515A"/>
    <w:rsid w:val="007E221C"/>
    <w:rsid w:val="007E57A9"/>
    <w:rsid w:val="008031F6"/>
    <w:rsid w:val="0081331D"/>
    <w:rsid w:val="00814757"/>
    <w:rsid w:val="00837545"/>
    <w:rsid w:val="00842172"/>
    <w:rsid w:val="008473A2"/>
    <w:rsid w:val="00870B8E"/>
    <w:rsid w:val="00892D32"/>
    <w:rsid w:val="00895BF7"/>
    <w:rsid w:val="008A6B35"/>
    <w:rsid w:val="008B17E5"/>
    <w:rsid w:val="00905EEB"/>
    <w:rsid w:val="009308F0"/>
    <w:rsid w:val="009331D6"/>
    <w:rsid w:val="00965906"/>
    <w:rsid w:val="00996526"/>
    <w:rsid w:val="009B7757"/>
    <w:rsid w:val="009C06A5"/>
    <w:rsid w:val="009D68A3"/>
    <w:rsid w:val="009E4DA7"/>
    <w:rsid w:val="009E6029"/>
    <w:rsid w:val="009F4BA4"/>
    <w:rsid w:val="00A45B21"/>
    <w:rsid w:val="00A50B18"/>
    <w:rsid w:val="00A5103D"/>
    <w:rsid w:val="00A65764"/>
    <w:rsid w:val="00AB2AD9"/>
    <w:rsid w:val="00AB3F54"/>
    <w:rsid w:val="00AC0570"/>
    <w:rsid w:val="00AC0D05"/>
    <w:rsid w:val="00AD42BE"/>
    <w:rsid w:val="00B27EDE"/>
    <w:rsid w:val="00B32038"/>
    <w:rsid w:val="00B50845"/>
    <w:rsid w:val="00B5425C"/>
    <w:rsid w:val="00B67000"/>
    <w:rsid w:val="00BA292B"/>
    <w:rsid w:val="00BA37C1"/>
    <w:rsid w:val="00BA791A"/>
    <w:rsid w:val="00BB204D"/>
    <w:rsid w:val="00BB472E"/>
    <w:rsid w:val="00BC3BE4"/>
    <w:rsid w:val="00BC5A78"/>
    <w:rsid w:val="00BE00A1"/>
    <w:rsid w:val="00BE0FE0"/>
    <w:rsid w:val="00BF1091"/>
    <w:rsid w:val="00C11EA1"/>
    <w:rsid w:val="00C55032"/>
    <w:rsid w:val="00C55085"/>
    <w:rsid w:val="00C64415"/>
    <w:rsid w:val="00C805A4"/>
    <w:rsid w:val="00C83988"/>
    <w:rsid w:val="00C87FE5"/>
    <w:rsid w:val="00CA3D17"/>
    <w:rsid w:val="00CB07C4"/>
    <w:rsid w:val="00CB08EF"/>
    <w:rsid w:val="00CB280E"/>
    <w:rsid w:val="00CE2E6A"/>
    <w:rsid w:val="00CF07DE"/>
    <w:rsid w:val="00D076D4"/>
    <w:rsid w:val="00D11ECC"/>
    <w:rsid w:val="00D206A6"/>
    <w:rsid w:val="00D2529E"/>
    <w:rsid w:val="00D30D11"/>
    <w:rsid w:val="00D3481E"/>
    <w:rsid w:val="00D41617"/>
    <w:rsid w:val="00D50ACD"/>
    <w:rsid w:val="00D56B0F"/>
    <w:rsid w:val="00D6133C"/>
    <w:rsid w:val="00D74D67"/>
    <w:rsid w:val="00D755B7"/>
    <w:rsid w:val="00DB1F87"/>
    <w:rsid w:val="00DD175C"/>
    <w:rsid w:val="00DD1DA6"/>
    <w:rsid w:val="00E1397A"/>
    <w:rsid w:val="00E15585"/>
    <w:rsid w:val="00E325D9"/>
    <w:rsid w:val="00E35C70"/>
    <w:rsid w:val="00E55208"/>
    <w:rsid w:val="00E735D8"/>
    <w:rsid w:val="00E74C21"/>
    <w:rsid w:val="00E83000"/>
    <w:rsid w:val="00EB25FA"/>
    <w:rsid w:val="00EC1642"/>
    <w:rsid w:val="00EC48E2"/>
    <w:rsid w:val="00EC4C92"/>
    <w:rsid w:val="00ED4747"/>
    <w:rsid w:val="00EF0B0F"/>
    <w:rsid w:val="00EF6DAC"/>
    <w:rsid w:val="00F063D5"/>
    <w:rsid w:val="00F070A9"/>
    <w:rsid w:val="00F15697"/>
    <w:rsid w:val="00F37362"/>
    <w:rsid w:val="00F43BFA"/>
    <w:rsid w:val="00F55503"/>
    <w:rsid w:val="00F55723"/>
    <w:rsid w:val="00F75127"/>
    <w:rsid w:val="00FC0CBA"/>
    <w:rsid w:val="00FE479D"/>
    <w:rsid w:val="00FE50D3"/>
    <w:rsid w:val="00FF6212"/>
    <w:rsid w:val="04F71228"/>
    <w:rsid w:val="0BC27D5C"/>
    <w:rsid w:val="1FB25682"/>
    <w:rsid w:val="34424AED"/>
    <w:rsid w:val="3AFF2E59"/>
    <w:rsid w:val="7D832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1157</Words>
  <Characters>1191</Characters>
  <Lines>8</Lines>
  <Paragraphs>2</Paragraphs>
  <TotalTime>386</TotalTime>
  <ScaleCrop>false</ScaleCrop>
  <LinksUpToDate>false</LinksUpToDate>
  <CharactersWithSpaces>1207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2025-11-27T03:57:00Z</dcterms:created>
  <dc:creator>AutoBVT</dc:creator>
  <cp:lastModifiedBy>admin</cp:lastModifiedBy>
  <cp:lastPrinted>2021-04-15T02:45:00Z</cp:lastPrinted>
  <dcterms:modified xsi:type="dcterms:W3CDTF">2026-03-18T09:20:16Z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4FAFDC0A64F64436A738CA42BBBC91FB_13</vt:lpwstr>
  </property>
</Properties>
</file>