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方正仿宋_GBK" w:hAnsi="方正仿宋_GBK" w:eastAsia="方正仿宋_GBK" w:cs="方正仿宋_GBK"/>
          <w:sz w:val="32"/>
          <w:szCs w:val="32"/>
          <w:lang w:val="en-US" w:eastAsia="zh-CN"/>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2026年</w:t>
      </w:r>
      <w:r>
        <w:rPr>
          <w:rFonts w:hint="eastAsia" w:ascii="方正小标宋_GBK" w:hAnsi="方正小标宋_GBK" w:eastAsia="方正小标宋_GBK" w:cs="方正小标宋_GBK"/>
          <w:sz w:val="40"/>
          <w:szCs w:val="40"/>
          <w:lang w:eastAsia="zh-CN"/>
        </w:rPr>
        <w:t>恩平市</w:t>
      </w:r>
      <w:r>
        <w:rPr>
          <w:rFonts w:hint="eastAsia" w:ascii="方正小标宋_GBK" w:hAnsi="方正小标宋_GBK" w:eastAsia="方正小标宋_GBK" w:cs="方正小标宋_GBK"/>
          <w:sz w:val="40"/>
          <w:szCs w:val="40"/>
        </w:rPr>
        <w:t>“银龄安康行动”老年人意外伤害综合保险项目评定原则和评审方法</w:t>
      </w:r>
    </w:p>
    <w:p>
      <w:pPr>
        <w:jc w:val="center"/>
        <w:rPr>
          <w:rFonts w:hint="eastAsia" w:ascii="方正小标宋_GBK" w:hAnsi="方正小标宋_GBK" w:eastAsia="方正小标宋_GBK" w:cs="方正小标宋_GBK"/>
          <w:sz w:val="40"/>
          <w:szCs w:val="40"/>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一、评定原则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仿宋_GBK" w:hAnsi="方正仿宋_GBK" w:eastAsia="方正仿宋_GBK" w:cs="方正仿宋_GBK"/>
          <w:sz w:val="32"/>
          <w:szCs w:val="32"/>
        </w:rPr>
        <w:t>本次评标采用综合评估法，</w:t>
      </w:r>
      <w:r>
        <w:rPr>
          <w:rFonts w:hint="eastAsia" w:ascii="方正仿宋_GBK" w:hAnsi="方正仿宋_GBK" w:eastAsia="方正仿宋_GBK" w:cs="方正仿宋_GBK"/>
          <w:sz w:val="32"/>
          <w:szCs w:val="32"/>
          <w:lang w:eastAsia="zh-CN"/>
        </w:rPr>
        <w:t>恩平市</w:t>
      </w:r>
      <w:r>
        <w:rPr>
          <w:rFonts w:hint="eastAsia" w:ascii="方正仿宋_GBK" w:hAnsi="方正仿宋_GBK" w:eastAsia="方正仿宋_GBK" w:cs="方正仿宋_GBK"/>
          <w:sz w:val="32"/>
          <w:szCs w:val="32"/>
        </w:rPr>
        <w:t>民政局将根据服务供应商提供的保险方案、理赔服务承诺、同类业绩、服务评价、投诉处理能力、投入项目人员情况及宣传计划等因素进行综合评估后选定。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二、评分及评审因素：</w:t>
      </w:r>
    </w:p>
    <w:tbl>
      <w:tblPr>
        <w:tblStyle w:val="5"/>
        <w:tblW w:w="9176" w:type="dxa"/>
        <w:tblInd w:w="-232" w:type="dxa"/>
        <w:tblLayout w:type="autofit"/>
        <w:tblCellMar>
          <w:top w:w="0" w:type="dxa"/>
          <w:left w:w="108" w:type="dxa"/>
          <w:bottom w:w="0" w:type="dxa"/>
          <w:right w:w="108" w:type="dxa"/>
        </w:tblCellMar>
      </w:tblPr>
      <w:tblGrid>
        <w:gridCol w:w="1266"/>
        <w:gridCol w:w="1695"/>
        <w:gridCol w:w="5451"/>
        <w:gridCol w:w="751"/>
        <w:gridCol w:w="13"/>
      </w:tblGrid>
      <w:tr>
        <w:tblPrEx>
          <w:tblCellMar>
            <w:top w:w="0" w:type="dxa"/>
            <w:left w:w="108" w:type="dxa"/>
            <w:bottom w:w="0" w:type="dxa"/>
            <w:right w:w="108" w:type="dxa"/>
          </w:tblCellMar>
        </w:tblPrEx>
        <w:trPr>
          <w:trHeight w:val="20" w:hRule="atLeast"/>
        </w:trPr>
        <w:tc>
          <w:tcPr>
            <w:tcW w:w="1271" w:type="dxa"/>
            <w:tcBorders>
              <w:top w:val="single" w:color="auto" w:sz="4" w:space="0"/>
              <w:left w:val="single" w:color="auto" w:sz="4" w:space="0"/>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评分项目</w:t>
            </w:r>
          </w:p>
        </w:tc>
        <w:tc>
          <w:tcPr>
            <w:tcW w:w="1701" w:type="dxa"/>
            <w:tcBorders>
              <w:top w:val="single" w:color="auto" w:sz="4" w:space="0"/>
              <w:left w:val="nil"/>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评标因素</w:t>
            </w:r>
          </w:p>
        </w:tc>
        <w:tc>
          <w:tcPr>
            <w:tcW w:w="5472" w:type="dxa"/>
            <w:tcBorders>
              <w:top w:val="single" w:color="auto" w:sz="4" w:space="0"/>
              <w:left w:val="nil"/>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评审指标</w:t>
            </w:r>
          </w:p>
        </w:tc>
        <w:tc>
          <w:tcPr>
            <w:tcW w:w="732" w:type="dxa"/>
            <w:gridSpan w:val="2"/>
            <w:tcBorders>
              <w:top w:val="single" w:color="auto" w:sz="4" w:space="0"/>
              <w:left w:val="nil"/>
              <w:bottom w:val="single" w:color="auto" w:sz="4" w:space="0"/>
              <w:right w:val="single" w:color="auto" w:sz="4" w:space="0"/>
            </w:tcBorders>
            <w:noWrap/>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分值</w:t>
            </w:r>
          </w:p>
        </w:tc>
      </w:tr>
      <w:tr>
        <w:tblPrEx>
          <w:tblCellMar>
            <w:top w:w="0" w:type="dxa"/>
            <w:left w:w="108" w:type="dxa"/>
            <w:bottom w:w="0" w:type="dxa"/>
            <w:right w:w="108" w:type="dxa"/>
          </w:tblCellMar>
        </w:tblPrEx>
        <w:trPr>
          <w:trHeight w:val="20" w:hRule="atLeast"/>
        </w:trPr>
        <w:tc>
          <w:tcPr>
            <w:tcW w:w="1271" w:type="dxa"/>
            <w:vMerge w:val="restart"/>
            <w:tcBorders>
              <w:top w:val="nil"/>
              <w:left w:val="single" w:color="auto" w:sz="4" w:space="0"/>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技术评分</w:t>
            </w:r>
          </w:p>
        </w:tc>
        <w:tc>
          <w:tcPr>
            <w:tcW w:w="1701" w:type="dxa"/>
            <w:tcBorders>
              <w:top w:val="nil"/>
              <w:left w:val="nil"/>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项目整体的理解和认识</w:t>
            </w:r>
          </w:p>
        </w:tc>
        <w:tc>
          <w:tcPr>
            <w:tcW w:w="5472" w:type="dxa"/>
            <w:tcBorders>
              <w:top w:val="nil"/>
              <w:left w:val="nil"/>
              <w:bottom w:val="single" w:color="auto" w:sz="4" w:space="0"/>
              <w:right w:val="single" w:color="auto" w:sz="4" w:space="0"/>
            </w:tcBorders>
            <w:noWrap w:val="0"/>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 xml:space="preserve">人对项目整体的理解和认识程度进行评审： </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 xml:space="preserve">熟悉和了解本项目重点投保内容，针对重点内容制定实施保障措施切实可行，完全满足或优于项目采购需求，得15分； </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 xml:space="preserve">对本项目重点投保内容有一定了解，重点内容的实施保障措施基本可行，部分满足项目采购需求，得10分； </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对本项目重点投保内容了解不充分，认识不到位，重点内容的实施保障措施考虑不足，不满足项目采购需求，得5分；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无提供相关描述，得0分。</w:t>
            </w:r>
          </w:p>
        </w:tc>
        <w:tc>
          <w:tcPr>
            <w:tcW w:w="732" w:type="dxa"/>
            <w:gridSpan w:val="2"/>
            <w:tcBorders>
              <w:top w:val="nil"/>
              <w:left w:val="nil"/>
              <w:bottom w:val="single" w:color="auto" w:sz="4" w:space="0"/>
              <w:right w:val="single" w:color="auto" w:sz="4" w:space="0"/>
            </w:tcBorders>
            <w:noWrap/>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15</w:t>
            </w:r>
          </w:p>
        </w:tc>
      </w:tr>
      <w:tr>
        <w:tblPrEx>
          <w:tblCellMar>
            <w:top w:w="0" w:type="dxa"/>
            <w:left w:w="108" w:type="dxa"/>
            <w:bottom w:w="0" w:type="dxa"/>
            <w:right w:w="108" w:type="dxa"/>
          </w:tblCellMar>
        </w:tblPrEx>
        <w:trPr>
          <w:trHeight w:val="20" w:hRule="atLeast"/>
        </w:trPr>
        <w:tc>
          <w:tcPr>
            <w:tcW w:w="1271"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服务方案</w:t>
            </w:r>
          </w:p>
        </w:tc>
        <w:tc>
          <w:tcPr>
            <w:tcW w:w="5472" w:type="dxa"/>
            <w:tcBorders>
              <w:top w:val="nil"/>
              <w:left w:val="nil"/>
              <w:bottom w:val="single" w:color="auto" w:sz="4" w:space="0"/>
              <w:right w:val="single" w:color="auto" w:sz="4" w:space="0"/>
            </w:tcBorders>
            <w:noWrap w:val="0"/>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人所投报服务方案至少包括：保险方案书、承保范围、理赔时效及便捷性、免责范围、理赔程序、服务承诺及附加值服务等进行评审：</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 xml:space="preserve">服务方案完善，保险方案内容全面、详细、准确，承保范围内容丰富多样，理赔便捷等，优于项目采购需求的，得15分； </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 xml:space="preserve">服务方案比较完善，保险方案内容较全面、详细、准确，承保范围相对较多，理赔较便捷等，完全满足项目采购需求的，得10分； </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服务方案不够完善，保险方案内容不够全面、详细，承保范围相对较少、理赔不够便捷等，部分满足项目采购需求的，得5分。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服务方案不完善，保险方案内容不全面，承保范围少、理赔不便捷等，不满足项目采购需求的，得1分。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5</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未提供服务方案的，得0分。</w:t>
            </w:r>
          </w:p>
        </w:tc>
        <w:tc>
          <w:tcPr>
            <w:tcW w:w="732" w:type="dxa"/>
            <w:gridSpan w:val="2"/>
            <w:tcBorders>
              <w:top w:val="nil"/>
              <w:left w:val="nil"/>
              <w:bottom w:val="single" w:color="auto" w:sz="4" w:space="0"/>
              <w:right w:val="single" w:color="auto" w:sz="4" w:space="0"/>
            </w:tcBorders>
            <w:noWrap/>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15</w:t>
            </w:r>
          </w:p>
        </w:tc>
      </w:tr>
      <w:tr>
        <w:tblPrEx>
          <w:tblCellMar>
            <w:top w:w="0" w:type="dxa"/>
            <w:left w:w="108" w:type="dxa"/>
            <w:bottom w:w="0" w:type="dxa"/>
            <w:right w:w="108" w:type="dxa"/>
          </w:tblCellMar>
        </w:tblPrEx>
        <w:trPr>
          <w:trHeight w:val="20" w:hRule="atLeast"/>
        </w:trPr>
        <w:tc>
          <w:tcPr>
            <w:tcW w:w="1271"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理赔服务方案整体服务</w:t>
            </w:r>
          </w:p>
        </w:tc>
        <w:tc>
          <w:tcPr>
            <w:tcW w:w="5472" w:type="dxa"/>
            <w:tcBorders>
              <w:top w:val="nil"/>
              <w:left w:val="nil"/>
              <w:bottom w:val="single" w:color="auto" w:sz="4" w:space="0"/>
              <w:right w:val="single" w:color="auto" w:sz="4" w:space="0"/>
            </w:tcBorders>
            <w:noWrap w:val="0"/>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人的理赔服务方案的整体服务内容进行评审，包括理赔方式、理赔地点、理赔审核期限、赔付期限、投诉处理方式、便民措施等：</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完全满足项目理赔要求，保障能力强，理赔服务方案明确了理赔方式、理赔地点、理赔审核期限、赔付期限、投诉处理方式、便民措施全部六项说明，并能提供有能力履行的现场接待经验图片（10张或10张以上）等相关证据的，得10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2.完全满足项目理赔要求，保障能力强，理赔服务方案明确了理赔方式、理赔地点、理赔审核期限、赔付期限、投诉处理方式、便民措施六项说明中的五项说明，并能提供有能力履行的经验图片（10张或10张以上）等相关证据的，得5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3.完全满足项目理赔要求，保障能力强，理赔服务方案明确了理赔方式、理赔地点、理赔审核期限、赔付期限、投诉处理方式、便民措施六项说明中的四项说明，并能提供有能力履行的经验图片（10张或10张以上）等相关证据的，得3分；</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4.其他情况或者没有提供方案，不得分。</w:t>
            </w:r>
          </w:p>
        </w:tc>
        <w:tc>
          <w:tcPr>
            <w:tcW w:w="732" w:type="dxa"/>
            <w:gridSpan w:val="2"/>
            <w:tcBorders>
              <w:top w:val="nil"/>
              <w:left w:val="nil"/>
              <w:bottom w:val="single" w:color="auto" w:sz="4" w:space="0"/>
              <w:right w:val="single" w:color="auto" w:sz="4" w:space="0"/>
            </w:tcBorders>
            <w:noWrap/>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default" w:ascii="Times New Roman" w:hAnsi="Times New Roman" w:eastAsia="方正仿宋_GBK" w:cs="Times New Roman"/>
                <w:sz w:val="28"/>
                <w:szCs w:val="28"/>
              </w:rPr>
              <w:t>0</w:t>
            </w:r>
          </w:p>
        </w:tc>
      </w:tr>
      <w:tr>
        <w:tblPrEx>
          <w:tblCellMar>
            <w:top w:w="0" w:type="dxa"/>
            <w:left w:w="108" w:type="dxa"/>
            <w:bottom w:w="0" w:type="dxa"/>
            <w:right w:w="108" w:type="dxa"/>
          </w:tblCellMar>
        </w:tblPrEx>
        <w:trPr>
          <w:trHeight w:val="20" w:hRule="atLeast"/>
        </w:trPr>
        <w:tc>
          <w:tcPr>
            <w:tcW w:w="1271"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投入本项目的人员情况</w:t>
            </w:r>
          </w:p>
        </w:tc>
        <w:tc>
          <w:tcPr>
            <w:tcW w:w="5472" w:type="dxa"/>
            <w:tcBorders>
              <w:top w:val="nil"/>
              <w:left w:val="nil"/>
              <w:bottom w:val="single" w:color="auto" w:sz="4" w:space="0"/>
              <w:right w:val="single" w:color="auto" w:sz="4" w:space="0"/>
            </w:tcBorders>
            <w:noWrap w:val="0"/>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项目管理架构完善，</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人承诺为本项目配置直接对接至本区内街道及村居的专门服务团队，投入本项目的人员20人或以上得10分；15人（含）-19人（含）得5分；10人（含）-14人（含）得3分；其他情况不得分。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注：需在</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文件中提供相关人员的毕业证（或职称证）及人员联系方式、供应商为其购买202</w:t>
            </w: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年6月至今任意1个月的社保证明文件复印件，并加盖响应供应商实体公章或使用电子公章，否则不得分。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如供应商为总公司授权投标的，总公司及属同一法人的其他分支机构的人员视同供应商所拥有。</w:t>
            </w:r>
          </w:p>
        </w:tc>
        <w:tc>
          <w:tcPr>
            <w:tcW w:w="732" w:type="dxa"/>
            <w:gridSpan w:val="2"/>
            <w:tcBorders>
              <w:top w:val="nil"/>
              <w:left w:val="nil"/>
              <w:bottom w:val="single" w:color="auto" w:sz="4" w:space="0"/>
              <w:right w:val="single" w:color="auto" w:sz="4" w:space="0"/>
            </w:tcBorders>
            <w:noWrap/>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p>
        </w:tc>
      </w:tr>
      <w:tr>
        <w:tblPrEx>
          <w:tblCellMar>
            <w:top w:w="0" w:type="dxa"/>
            <w:left w:w="108" w:type="dxa"/>
            <w:bottom w:w="0" w:type="dxa"/>
            <w:right w:w="108" w:type="dxa"/>
          </w:tblCellMar>
        </w:tblPrEx>
        <w:trPr>
          <w:trHeight w:val="20" w:hRule="atLeast"/>
        </w:trPr>
        <w:tc>
          <w:tcPr>
            <w:tcW w:w="1271" w:type="dxa"/>
            <w:vMerge w:val="restart"/>
            <w:tcBorders>
              <w:top w:val="nil"/>
              <w:left w:val="single" w:color="auto" w:sz="4" w:space="0"/>
              <w:right w:val="single" w:color="auto" w:sz="4" w:space="0"/>
            </w:tcBorders>
            <w:noWrap w:val="0"/>
            <w:vAlign w:val="center"/>
          </w:tcPr>
          <w:p>
            <w:pPr>
              <w:pStyle w:val="2"/>
              <w:spacing w:line="480" w:lineRule="exact"/>
              <w:jc w:val="center"/>
              <w:rPr>
                <w:rFonts w:hint="eastAsia" w:ascii="宋体" w:hAnsi="宋体" w:eastAsia="宋体" w:cs="宋体"/>
                <w:kern w:val="0"/>
                <w:sz w:val="24"/>
                <w:szCs w:val="24"/>
              </w:rPr>
            </w:pPr>
            <w:r>
              <w:rPr>
                <w:rFonts w:hint="eastAsia" w:ascii="方正黑体_GBK" w:hAnsi="方正黑体_GBK" w:eastAsia="方正黑体_GBK" w:cs="方正黑体_GBK"/>
                <w:b w:val="0"/>
                <w:bCs/>
                <w:sz w:val="24"/>
              </w:rPr>
              <w:t>商务评分</w:t>
            </w:r>
          </w:p>
        </w:tc>
        <w:tc>
          <w:tcPr>
            <w:tcW w:w="1701" w:type="dxa"/>
            <w:tcBorders>
              <w:top w:val="nil"/>
              <w:left w:val="nil"/>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同类业绩</w:t>
            </w:r>
          </w:p>
        </w:tc>
        <w:tc>
          <w:tcPr>
            <w:tcW w:w="5472" w:type="dxa"/>
            <w:tcBorders>
              <w:top w:val="nil"/>
              <w:left w:val="nil"/>
              <w:bottom w:val="single" w:color="auto" w:sz="4" w:space="0"/>
              <w:right w:val="single" w:color="auto" w:sz="4" w:space="0"/>
            </w:tcBorders>
            <w:noWrap w:val="0"/>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供应商在202</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年1月1日至今承保过政府部门团体险项目的，每提供一个得2分，没有的得0分，满分为10分。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注：需在</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文件中提供合同或合作协议或保单复印件，并加盖响应供应商实体公章或使用电子公章，否则不得分。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如供应商为总公司授权投标的，总公司及属同一法人的其他分支机构取得的业绩视同供应商所拥有。</w:t>
            </w:r>
          </w:p>
        </w:tc>
        <w:tc>
          <w:tcPr>
            <w:tcW w:w="732" w:type="dxa"/>
            <w:gridSpan w:val="2"/>
            <w:tcBorders>
              <w:top w:val="nil"/>
              <w:left w:val="nil"/>
              <w:bottom w:val="single" w:color="auto" w:sz="4" w:space="0"/>
              <w:right w:val="single" w:color="auto" w:sz="4" w:space="0"/>
            </w:tcBorders>
            <w:noWrap/>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p>
        </w:tc>
      </w:tr>
      <w:tr>
        <w:tblPrEx>
          <w:tblCellMar>
            <w:top w:w="0" w:type="dxa"/>
            <w:left w:w="108" w:type="dxa"/>
            <w:bottom w:w="0" w:type="dxa"/>
            <w:right w:w="108" w:type="dxa"/>
          </w:tblCellMar>
        </w:tblPrEx>
        <w:trPr>
          <w:trHeight w:val="20" w:hRule="atLeast"/>
        </w:trPr>
        <w:tc>
          <w:tcPr>
            <w:tcW w:w="1271" w:type="dxa"/>
            <w:vMerge w:val="continue"/>
            <w:tcBorders>
              <w:left w:val="single" w:color="auto" w:sz="4" w:space="0"/>
              <w:right w:val="single" w:color="auto" w:sz="4" w:space="0"/>
            </w:tcBorders>
            <w:noWrap w:val="0"/>
            <w:vAlign w:val="center"/>
          </w:tcPr>
          <w:p>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服务评价</w:t>
            </w:r>
          </w:p>
        </w:tc>
        <w:tc>
          <w:tcPr>
            <w:tcW w:w="5472" w:type="dxa"/>
            <w:tcBorders>
              <w:top w:val="nil"/>
              <w:left w:val="nil"/>
              <w:bottom w:val="single" w:color="auto" w:sz="4" w:space="0"/>
              <w:right w:val="single" w:color="auto" w:sz="4" w:space="0"/>
            </w:tcBorders>
            <w:noWrap w:val="0"/>
            <w:vAlign w:val="center"/>
          </w:tcPr>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就上述“同类业绩”评审项中业主单位出具的好评（结果为“良好”或“优秀”或相同含义的评价）进行评审：</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每提供一个得2分，没有的得0分，满分为10分。</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注：需在</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文件中提供加盖合同采购单位公章的业主服务评价证明文件（项目名称须与对应合同一致）复印件，并加盖供应商实体公章或使用电子公章，否则不得分。</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如供应商为总公司授权投标的，总公司及属同一法人的其他分支机构取得的服务评价视同供应商所拥有。</w:t>
            </w:r>
          </w:p>
        </w:tc>
        <w:tc>
          <w:tcPr>
            <w:tcW w:w="732" w:type="dxa"/>
            <w:gridSpan w:val="2"/>
            <w:tcBorders>
              <w:top w:val="nil"/>
              <w:left w:val="nil"/>
              <w:bottom w:val="single" w:color="auto" w:sz="4" w:space="0"/>
              <w:right w:val="single" w:color="auto" w:sz="4" w:space="0"/>
            </w:tcBorders>
            <w:noWrap/>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p>
        </w:tc>
      </w:tr>
      <w:tr>
        <w:tblPrEx>
          <w:tblCellMar>
            <w:top w:w="0" w:type="dxa"/>
            <w:left w:w="108" w:type="dxa"/>
            <w:bottom w:w="0" w:type="dxa"/>
            <w:right w:w="108" w:type="dxa"/>
          </w:tblCellMar>
        </w:tblPrEx>
        <w:trPr>
          <w:trHeight w:val="20" w:hRule="atLeast"/>
        </w:trPr>
        <w:tc>
          <w:tcPr>
            <w:tcW w:w="1271" w:type="dxa"/>
            <w:vMerge w:val="continue"/>
            <w:tcBorders>
              <w:left w:val="single" w:color="auto" w:sz="4" w:space="0"/>
              <w:right w:val="single" w:color="auto" w:sz="4" w:space="0"/>
            </w:tcBorders>
            <w:noWrap w:val="0"/>
            <w:vAlign w:val="center"/>
          </w:tcPr>
          <w:p>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综合偿付能力充足率</w:t>
            </w:r>
          </w:p>
        </w:tc>
        <w:tc>
          <w:tcPr>
            <w:tcW w:w="5472" w:type="dxa"/>
            <w:tcBorders>
              <w:top w:val="nil"/>
              <w:left w:val="nil"/>
              <w:bottom w:val="single" w:color="auto" w:sz="4" w:space="0"/>
              <w:right w:val="single" w:color="auto" w:sz="4" w:space="0"/>
            </w:tcBorders>
            <w:noWrap w:val="0"/>
            <w:vAlign w:val="center"/>
          </w:tcPr>
          <w:p>
            <w:pPr>
              <w:spacing w:line="480" w:lineRule="exact"/>
              <w:rPr>
                <w:rFonts w:hint="default" w:ascii="Times New Roman" w:hAnsi="Times New Roman" w:eastAsia="方正仿宋_GBK" w:cs="Times New Roman"/>
                <w:sz w:val="28"/>
                <w:szCs w:val="28"/>
              </w:rPr>
            </w:pPr>
            <w:bookmarkStart w:id="0" w:name="OLE_LINK1"/>
            <w:bookmarkStart w:id="1" w:name="OLE_LINK2"/>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人所属总公司最近四个季度的综合偿付能力充足率进行评分：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综合偿付能力充足率四个季度均达到</w:t>
            </w:r>
            <w:r>
              <w:rPr>
                <w:rFonts w:hint="eastAsia" w:ascii="Times New Roman" w:hAnsi="Times New Roman" w:eastAsia="方正仿宋_GBK" w:cs="Times New Roman"/>
                <w:sz w:val="28"/>
                <w:szCs w:val="28"/>
                <w:lang w:val="en-US" w:eastAsia="zh-CN"/>
              </w:rPr>
              <w:t>150</w:t>
            </w:r>
            <w:r>
              <w:rPr>
                <w:rFonts w:hint="eastAsia" w:ascii="Times New Roman" w:hAnsi="Times New Roman" w:eastAsia="方正仿宋_GBK" w:cs="Times New Roman"/>
                <w:sz w:val="28"/>
                <w:szCs w:val="28"/>
              </w:rPr>
              <w:t>%（含</w:t>
            </w:r>
            <w:r>
              <w:rPr>
                <w:rFonts w:hint="eastAsia" w:ascii="Times New Roman" w:hAnsi="Times New Roman" w:eastAsia="方正仿宋_GBK" w:cs="Times New Roman"/>
                <w:sz w:val="28"/>
                <w:szCs w:val="28"/>
                <w:lang w:val="en-US" w:eastAsia="zh-CN"/>
              </w:rPr>
              <w:t>150</w:t>
            </w:r>
            <w:r>
              <w:rPr>
                <w:rFonts w:hint="eastAsia" w:ascii="Times New Roman" w:hAnsi="Times New Roman" w:eastAsia="方正仿宋_GBK" w:cs="Times New Roman"/>
                <w:sz w:val="28"/>
                <w:szCs w:val="28"/>
              </w:rPr>
              <w:t>%）以上的，得10分；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rPr>
              <w:t>综合偿付能力充足率有一个季度高于100%（含100%）且低于</w:t>
            </w:r>
            <w:r>
              <w:rPr>
                <w:rFonts w:hint="eastAsia" w:ascii="Times New Roman" w:hAnsi="Times New Roman" w:eastAsia="方正仿宋_GBK" w:cs="Times New Roman"/>
                <w:sz w:val="28"/>
                <w:szCs w:val="28"/>
                <w:lang w:val="en-US" w:eastAsia="zh-CN"/>
              </w:rPr>
              <w:t>15</w:t>
            </w:r>
            <w:r>
              <w:rPr>
                <w:rFonts w:hint="eastAsia" w:ascii="Times New Roman" w:hAnsi="Times New Roman" w:eastAsia="方正仿宋_GBK" w:cs="Times New Roman"/>
                <w:sz w:val="28"/>
                <w:szCs w:val="28"/>
              </w:rPr>
              <w:t>0%的，得8分；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综合偿付能力充足率有两个季度高于100%（含100%）且低于</w:t>
            </w:r>
            <w:r>
              <w:rPr>
                <w:rFonts w:hint="eastAsia" w:ascii="Times New Roman" w:hAnsi="Times New Roman" w:eastAsia="方正仿宋_GBK" w:cs="Times New Roman"/>
                <w:sz w:val="28"/>
                <w:szCs w:val="28"/>
                <w:lang w:val="en-US" w:eastAsia="zh-CN"/>
              </w:rPr>
              <w:t>150</w:t>
            </w:r>
            <w:r>
              <w:rPr>
                <w:rFonts w:hint="eastAsia" w:ascii="Times New Roman" w:hAnsi="Times New Roman" w:eastAsia="方正仿宋_GBK" w:cs="Times New Roman"/>
                <w:sz w:val="28"/>
                <w:szCs w:val="28"/>
              </w:rPr>
              <w:t>%的，得6分；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rPr>
              <w:t>综合偿付能力充足率有三个季度高于100%（含100%）且低于</w:t>
            </w:r>
            <w:r>
              <w:rPr>
                <w:rFonts w:hint="eastAsia" w:ascii="Times New Roman" w:hAnsi="Times New Roman" w:eastAsia="方正仿宋_GBK" w:cs="Times New Roman"/>
                <w:sz w:val="28"/>
                <w:szCs w:val="28"/>
                <w:lang w:val="en-US" w:eastAsia="zh-CN"/>
              </w:rPr>
              <w:t>150</w:t>
            </w:r>
            <w:r>
              <w:rPr>
                <w:rFonts w:hint="eastAsia" w:ascii="Times New Roman" w:hAnsi="Times New Roman" w:eastAsia="方正仿宋_GBK" w:cs="Times New Roman"/>
                <w:sz w:val="28"/>
                <w:szCs w:val="28"/>
              </w:rPr>
              <w:t>%的，得4分；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综合偿付能力充足率有四个季度高于100%（含100%）且低于</w:t>
            </w:r>
            <w:r>
              <w:rPr>
                <w:rFonts w:hint="eastAsia" w:ascii="Times New Roman" w:hAnsi="Times New Roman" w:eastAsia="方正仿宋_GBK" w:cs="Times New Roman"/>
                <w:sz w:val="28"/>
                <w:szCs w:val="28"/>
                <w:lang w:val="en-US" w:eastAsia="zh-CN"/>
              </w:rPr>
              <w:t>150</w:t>
            </w:r>
            <w:bookmarkStart w:id="2" w:name="_GoBack"/>
            <w:bookmarkEnd w:id="2"/>
            <w:r>
              <w:rPr>
                <w:rFonts w:hint="eastAsia" w:ascii="Times New Roman" w:hAnsi="Times New Roman" w:eastAsia="方正仿宋_GBK" w:cs="Times New Roman"/>
                <w:sz w:val="28"/>
                <w:szCs w:val="28"/>
              </w:rPr>
              <w:t>%的，得2分；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rPr>
              <w:t>综合偿付能力充足率出现一个季度低于100%的，得0分。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注：需在</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文件中提供响应人所属总公司在中国保险行业协会官网或响应人所属公司官网披露的报告截图，所有材料需加盖响应人及其所属总公司实体公章或使用电子公章，否则不得分。</w:t>
            </w:r>
            <w:bookmarkEnd w:id="0"/>
            <w:bookmarkEnd w:id="1"/>
          </w:p>
        </w:tc>
        <w:tc>
          <w:tcPr>
            <w:tcW w:w="732" w:type="dxa"/>
            <w:gridSpan w:val="2"/>
            <w:tcBorders>
              <w:top w:val="nil"/>
              <w:left w:val="nil"/>
              <w:bottom w:val="single" w:color="auto" w:sz="4" w:space="0"/>
              <w:right w:val="single" w:color="auto" w:sz="4" w:space="0"/>
            </w:tcBorders>
            <w:noWrap/>
            <w:vAlign w:val="center"/>
          </w:tcPr>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p>
        </w:tc>
      </w:tr>
      <w:tr>
        <w:tblPrEx>
          <w:tblCellMar>
            <w:top w:w="0" w:type="dxa"/>
            <w:left w:w="108" w:type="dxa"/>
            <w:bottom w:w="0" w:type="dxa"/>
            <w:right w:w="108" w:type="dxa"/>
          </w:tblCellMar>
        </w:tblPrEx>
        <w:trPr>
          <w:trHeight w:val="20" w:hRule="atLeast"/>
        </w:trPr>
        <w:tc>
          <w:tcPr>
            <w:tcW w:w="1271" w:type="dxa"/>
            <w:vMerge w:val="continue"/>
            <w:tcBorders>
              <w:left w:val="single" w:color="auto" w:sz="4" w:space="0"/>
              <w:bottom w:val="single" w:color="auto" w:sz="4" w:space="0"/>
              <w:right w:val="single" w:color="auto" w:sz="4" w:space="0"/>
            </w:tcBorders>
            <w:noWrap w:val="0"/>
            <w:vAlign w:val="center"/>
          </w:tcPr>
          <w:p>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pPr>
              <w:widowControl/>
              <w:spacing w:line="480" w:lineRule="exact"/>
              <w:jc w:val="center"/>
              <w:rPr>
                <w:rFonts w:hint="eastAsia" w:ascii="宋体" w:hAnsi="宋体" w:eastAsia="宋体" w:cs="宋体"/>
                <w:kern w:val="0"/>
                <w:sz w:val="24"/>
                <w:szCs w:val="24"/>
                <w:lang w:bidi="ar"/>
              </w:rPr>
            </w:pPr>
            <w:r>
              <w:rPr>
                <w:rFonts w:hint="eastAsia" w:ascii="方正黑体_GBK" w:hAnsi="方正黑体_GBK" w:eastAsia="方正黑体_GBK" w:cs="方正黑体_GBK"/>
                <w:b w:val="0"/>
                <w:bCs/>
                <w:kern w:val="2"/>
                <w:sz w:val="24"/>
                <w:szCs w:val="24"/>
                <w:lang w:val="en-US" w:eastAsia="zh-CN" w:bidi="ar-SA"/>
              </w:rPr>
              <w:t>投诉处理能力</w:t>
            </w:r>
          </w:p>
        </w:tc>
        <w:tc>
          <w:tcPr>
            <w:tcW w:w="5472" w:type="dxa"/>
            <w:tcBorders>
              <w:top w:val="nil"/>
              <w:left w:val="nil"/>
              <w:bottom w:val="single" w:color="auto" w:sz="4" w:space="0"/>
              <w:right w:val="single" w:color="auto" w:sz="4" w:space="0"/>
            </w:tcBorders>
            <w:noWrap w:val="0"/>
            <w:vAlign w:val="center"/>
          </w:tcPr>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 xml:space="preserve">人总公司投标截止时间前最新公布的万张保单投诉量（件/万张）进行评分： </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 xml:space="preserve">0.05件/万张（含）以下，得5分； </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rPr>
              <w:t>0.05件/万张（不含）至0.08件/万张（含），得3分；</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 xml:space="preserve">0.08件/万张（不含）至0.1件/万张（含），得1分； </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rPr>
              <w:t xml:space="preserve">0.1件/万张（不含）以上，得0分。 </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注：需在</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文件中提供国家金融监督管理总局发布的通报公告截图及公告附件作为证明材料，并加盖响应供应商实体公章或使用电子公章，否则不得分。</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人承诺的投诉处理控制，有效控制服务对象投诉率措施进行评分：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承诺的投诉处理控制措施规范，能有效控制投诉率，完全满足或优于项目实施需求的，得5分；</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rPr>
              <w:t>承诺的投诉处理控制措施不够规范，不能有效控制投诉率，部分满足项目实施需求的，得3分；</w:t>
            </w:r>
          </w:p>
          <w:p>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承诺的投诉处理控制措施存在一定缺陷，会造成投诉率增涨，不满足项目实施需求的，得1分；</w:t>
            </w:r>
          </w:p>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rPr>
              <w:t>无提供相关描述，得0分。</w:t>
            </w:r>
          </w:p>
        </w:tc>
        <w:tc>
          <w:tcPr>
            <w:tcW w:w="732" w:type="dxa"/>
            <w:gridSpan w:val="2"/>
            <w:tcBorders>
              <w:top w:val="nil"/>
              <w:left w:val="nil"/>
              <w:bottom w:val="single" w:color="auto" w:sz="4" w:space="0"/>
              <w:right w:val="single" w:color="auto" w:sz="4" w:space="0"/>
            </w:tcBorders>
            <w:noWrap/>
            <w:vAlign w:val="center"/>
          </w:tcPr>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default" w:ascii="Times New Roman" w:hAnsi="Times New Roman" w:eastAsia="方正仿宋_GBK" w:cs="Times New Roman"/>
                <w:sz w:val="28"/>
                <w:szCs w:val="28"/>
              </w:rPr>
              <w:t>0</w:t>
            </w:r>
          </w:p>
        </w:tc>
      </w:tr>
      <w:tr>
        <w:tblPrEx>
          <w:tblCellMar>
            <w:top w:w="0" w:type="dxa"/>
            <w:left w:w="108" w:type="dxa"/>
            <w:bottom w:w="0" w:type="dxa"/>
            <w:right w:w="108" w:type="dxa"/>
          </w:tblCellMar>
        </w:tblPrEx>
        <w:trPr>
          <w:trHeight w:val="20" w:hRule="atLeast"/>
        </w:trPr>
        <w:tc>
          <w:tcPr>
            <w:tcW w:w="1271" w:type="dxa"/>
            <w:vMerge w:val="restart"/>
            <w:tcBorders>
              <w:left w:val="single" w:color="auto" w:sz="4" w:space="0"/>
              <w:right w:val="single" w:color="auto" w:sz="4" w:space="0"/>
            </w:tcBorders>
            <w:noWrap w:val="0"/>
            <w:vAlign w:val="center"/>
          </w:tcPr>
          <w:p>
            <w:pPr>
              <w:widowControl/>
              <w:spacing w:line="480" w:lineRule="exact"/>
              <w:jc w:val="center"/>
              <w:rPr>
                <w:rFonts w:hint="eastAsia" w:ascii="宋体" w:hAnsi="宋体" w:eastAsia="宋体" w:cs="宋体"/>
                <w:kern w:val="0"/>
                <w:sz w:val="24"/>
                <w:szCs w:val="24"/>
              </w:rPr>
            </w:pPr>
            <w:r>
              <w:rPr>
                <w:rFonts w:hint="eastAsia" w:ascii="方正黑体_GBK" w:hAnsi="方正黑体_GBK" w:eastAsia="方正黑体_GBK" w:cs="方正黑体_GBK"/>
                <w:b w:val="0"/>
                <w:bCs/>
                <w:kern w:val="2"/>
                <w:sz w:val="24"/>
                <w:szCs w:val="24"/>
                <w:lang w:val="en-US" w:eastAsia="zh-CN" w:bidi="ar-SA"/>
              </w:rPr>
              <w:t>价格评分</w:t>
            </w:r>
          </w:p>
        </w:tc>
        <w:tc>
          <w:tcPr>
            <w:tcW w:w="1701" w:type="dxa"/>
            <w:tcBorders>
              <w:top w:val="nil"/>
              <w:left w:val="nil"/>
              <w:bottom w:val="single" w:color="auto" w:sz="4" w:space="0"/>
              <w:right w:val="single" w:color="auto" w:sz="4" w:space="0"/>
            </w:tcBorders>
            <w:noWrap w:val="0"/>
            <w:vAlign w:val="center"/>
          </w:tcPr>
          <w:p>
            <w:pPr>
              <w:widowControl/>
              <w:spacing w:line="480" w:lineRule="exact"/>
              <w:jc w:val="center"/>
              <w:rPr>
                <w:rFonts w:ascii="宋体" w:hAnsi="宋体" w:eastAsia="宋体"/>
                <w:sz w:val="24"/>
                <w:szCs w:val="24"/>
              </w:rPr>
            </w:pPr>
            <w:r>
              <w:rPr>
                <w:rFonts w:hint="eastAsia" w:ascii="方正黑体_GBK" w:hAnsi="方正黑体_GBK" w:eastAsia="方正黑体_GBK" w:cs="方正黑体_GBK"/>
                <w:b w:val="0"/>
                <w:bCs/>
                <w:kern w:val="2"/>
                <w:sz w:val="24"/>
                <w:szCs w:val="24"/>
                <w:lang w:val="en-US" w:eastAsia="zh-CN" w:bidi="ar-SA"/>
              </w:rPr>
              <w:t>价格扣除条件</w:t>
            </w:r>
          </w:p>
        </w:tc>
        <w:tc>
          <w:tcPr>
            <w:tcW w:w="5472" w:type="dxa"/>
            <w:tcBorders>
              <w:top w:val="nil"/>
              <w:left w:val="nil"/>
              <w:bottom w:val="single" w:color="auto" w:sz="4" w:space="0"/>
              <w:right w:val="single" w:color="auto" w:sz="4" w:space="0"/>
            </w:tcBorders>
            <w:noWrap w:val="0"/>
            <w:vAlign w:val="center"/>
          </w:tcPr>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小型和微型企业（监狱企业、残疾人福利单位视同小型、微型企业）（10%）</w:t>
            </w:r>
          </w:p>
        </w:tc>
        <w:tc>
          <w:tcPr>
            <w:tcW w:w="732" w:type="dxa"/>
            <w:gridSpan w:val="2"/>
            <w:vMerge w:val="restart"/>
            <w:tcBorders>
              <w:top w:val="nil"/>
              <w:left w:val="nil"/>
              <w:right w:val="single" w:color="auto" w:sz="4" w:space="0"/>
            </w:tcBorders>
            <w:noWrap/>
            <w:vAlign w:val="center"/>
          </w:tcPr>
          <w:p>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default" w:ascii="Times New Roman" w:hAnsi="Times New Roman" w:eastAsia="方正仿宋_GBK" w:cs="Times New Roman"/>
                <w:sz w:val="28"/>
                <w:szCs w:val="28"/>
              </w:rPr>
              <w:t>0</w:t>
            </w:r>
          </w:p>
        </w:tc>
      </w:tr>
      <w:tr>
        <w:tblPrEx>
          <w:tblCellMar>
            <w:top w:w="0" w:type="dxa"/>
            <w:left w:w="108" w:type="dxa"/>
            <w:bottom w:w="0" w:type="dxa"/>
            <w:right w:w="108" w:type="dxa"/>
          </w:tblCellMar>
        </w:tblPrEx>
        <w:trPr>
          <w:trHeight w:val="20" w:hRule="atLeast"/>
        </w:trPr>
        <w:tc>
          <w:tcPr>
            <w:tcW w:w="1271" w:type="dxa"/>
            <w:vMerge w:val="continue"/>
            <w:tcBorders>
              <w:left w:val="single" w:color="auto" w:sz="4" w:space="0"/>
              <w:bottom w:val="single" w:color="auto" w:sz="4" w:space="0"/>
              <w:right w:val="single" w:color="auto" w:sz="4" w:space="0"/>
            </w:tcBorders>
            <w:noWrap w:val="0"/>
            <w:vAlign w:val="center"/>
          </w:tcPr>
          <w:p>
            <w:pPr>
              <w:widowControl/>
              <w:spacing w:line="480" w:lineRule="exact"/>
              <w:jc w:val="left"/>
              <w:rPr>
                <w:rFonts w:hint="eastAsia" w:ascii="宋体" w:hAnsi="宋体" w:eastAsia="宋体"/>
                <w:bCs/>
                <w:sz w:val="24"/>
                <w:szCs w:val="24"/>
              </w:rPr>
            </w:pPr>
          </w:p>
        </w:tc>
        <w:tc>
          <w:tcPr>
            <w:tcW w:w="7173" w:type="dxa"/>
            <w:gridSpan w:val="2"/>
            <w:tcBorders>
              <w:top w:val="nil"/>
              <w:left w:val="nil"/>
              <w:bottom w:val="single" w:color="auto" w:sz="4" w:space="0"/>
              <w:right w:val="single" w:color="auto" w:sz="4" w:space="0"/>
            </w:tcBorders>
            <w:noWrap w:val="0"/>
            <w:vAlign w:val="center"/>
          </w:tcPr>
          <w:p>
            <w:pPr>
              <w:spacing w:line="480" w:lineRule="exact"/>
              <w:rPr>
                <w:rFonts w:hint="eastAsia" w:ascii="宋体" w:hAnsi="宋体" w:eastAsia="宋体" w:cs="宋体"/>
                <w:kern w:val="0"/>
                <w:sz w:val="24"/>
                <w:szCs w:val="24"/>
              </w:rPr>
            </w:pPr>
            <w:r>
              <w:rPr>
                <w:rFonts w:hint="eastAsia" w:ascii="Times New Roman" w:hAnsi="Times New Roman" w:eastAsia="方正仿宋_GBK" w:cs="Times New Roman"/>
                <w:sz w:val="28"/>
                <w:szCs w:val="28"/>
              </w:rPr>
              <w:t>价格扣除后的报价得分=（</w:t>
            </w:r>
            <w:r>
              <w:rPr>
                <w:rFonts w:hint="eastAsia" w:ascii="Times New Roman" w:hAnsi="Times New Roman" w:eastAsia="方正仿宋_GBK" w:cs="Times New Roman"/>
                <w:sz w:val="28"/>
                <w:szCs w:val="28"/>
                <w:lang w:val="en-US" w:eastAsia="zh-CN"/>
              </w:rPr>
              <w:t>评标</w:t>
            </w:r>
            <w:r>
              <w:rPr>
                <w:rFonts w:hint="eastAsia" w:ascii="Times New Roman" w:hAnsi="Times New Roman" w:eastAsia="方正仿宋_GBK" w:cs="Times New Roman"/>
                <w:sz w:val="28"/>
                <w:szCs w:val="28"/>
              </w:rPr>
              <w:t>基准价/投标报价）×10</w:t>
            </w:r>
          </w:p>
        </w:tc>
        <w:tc>
          <w:tcPr>
            <w:tcW w:w="732" w:type="dxa"/>
            <w:gridSpan w:val="2"/>
            <w:vMerge w:val="continue"/>
            <w:tcBorders>
              <w:left w:val="nil"/>
              <w:bottom w:val="single" w:color="auto" w:sz="4" w:space="0"/>
              <w:right w:val="single" w:color="auto" w:sz="4" w:space="0"/>
            </w:tcBorders>
            <w:noWrap/>
            <w:vAlign w:val="center"/>
          </w:tcPr>
          <w:p>
            <w:pPr>
              <w:widowControl/>
              <w:spacing w:line="480" w:lineRule="exact"/>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3" w:type="dxa"/>
          <w:trHeight w:val="20" w:hRule="atLeast"/>
        </w:trPr>
        <w:tc>
          <w:tcPr>
            <w:tcW w:w="844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宋体" w:hAnsi="宋体" w:eastAsia="宋体" w:cs="宋体"/>
                <w:kern w:val="0"/>
                <w:sz w:val="24"/>
                <w:szCs w:val="24"/>
              </w:rPr>
            </w:pPr>
            <w:r>
              <w:rPr>
                <w:rFonts w:hint="eastAsia" w:ascii="方正黑体_GBK" w:hAnsi="方正黑体_GBK" w:eastAsia="方正黑体_GBK" w:cs="方正黑体_GBK"/>
                <w:b w:val="0"/>
                <w:bCs/>
                <w:kern w:val="2"/>
                <w:sz w:val="24"/>
                <w:szCs w:val="24"/>
                <w:lang w:val="en-US" w:eastAsia="zh-CN" w:bidi="ar-SA"/>
              </w:rPr>
              <w:t>合计</w:t>
            </w:r>
          </w:p>
        </w:tc>
        <w:tc>
          <w:tcPr>
            <w:tcW w:w="719" w:type="dxa"/>
            <w:tcBorders>
              <w:top w:val="nil"/>
              <w:left w:val="nil"/>
              <w:bottom w:val="single" w:color="auto" w:sz="4" w:space="0"/>
              <w:right w:val="single" w:color="auto" w:sz="4" w:space="0"/>
            </w:tcBorders>
            <w:noWrap/>
            <w:vAlign w:val="center"/>
          </w:tcPr>
          <w:p>
            <w:pPr>
              <w:widowControl/>
              <w:spacing w:line="480" w:lineRule="exact"/>
              <w:jc w:val="center"/>
              <w:rPr>
                <w:rFonts w:hint="eastAsia" w:ascii="宋体" w:hAnsi="宋体" w:eastAsia="宋体" w:cs="宋体"/>
                <w:kern w:val="0"/>
                <w:sz w:val="24"/>
                <w:szCs w:val="24"/>
              </w:rPr>
            </w:pPr>
            <w:r>
              <w:rPr>
                <w:rFonts w:hint="eastAsia" w:ascii="Times New Roman" w:hAnsi="Times New Roman" w:eastAsia="方正仿宋_GBK" w:cs="Times New Roman"/>
                <w:sz w:val="28"/>
                <w:szCs w:val="28"/>
              </w:rPr>
              <w:t>100</w:t>
            </w:r>
          </w:p>
        </w:tc>
      </w:tr>
    </w:tbl>
    <w:p>
      <w:pPr>
        <w:numPr>
          <w:ilvl w:val="0"/>
          <w:numId w:val="0"/>
        </w:numPr>
        <w:rPr>
          <w:rFonts w:hint="eastAsia"/>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F2F4D"/>
    <w:rsid w:val="12663C29"/>
    <w:rsid w:val="152A3C75"/>
    <w:rsid w:val="15C26140"/>
    <w:rsid w:val="1F8D3A41"/>
    <w:rsid w:val="3D7D6B16"/>
    <w:rsid w:val="489F2F4D"/>
    <w:rsid w:val="5EDE7E4F"/>
    <w:rsid w:val="68F92350"/>
    <w:rsid w:val="69CF1571"/>
    <w:rsid w:val="F9BF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表格样式"/>
    <w:basedOn w:val="8"/>
    <w:qFormat/>
    <w:uiPriority w:val="0"/>
    <w:rPr>
      <w:rFonts w:ascii="Calibri" w:hAnsi="Calibri"/>
      <w:sz w:val="24"/>
      <w:szCs w:val="22"/>
    </w:rPr>
  </w:style>
  <w:style w:type="paragraph" w:styleId="8">
    <w:name w:val="No Spacing"/>
    <w:qFormat/>
    <w:uiPriority w:val="1"/>
    <w:pPr>
      <w:widowControl w:val="0"/>
      <w:jc w:val="both"/>
    </w:pPr>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1402</Words>
  <Characters>1522</Characters>
  <Lines>0</Lines>
  <Paragraphs>0</Paragraphs>
  <TotalTime>35</TotalTime>
  <ScaleCrop>false</ScaleCrop>
  <LinksUpToDate>false</LinksUpToDate>
  <CharactersWithSpaces>1525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2026-02-25T17:16:00Z</dcterms:created>
  <dc:creator>༗࿆笨猪跳༗࿆</dc:creator>
  <cp:lastModifiedBy>epxc-0138</cp:lastModifiedBy>
  <dcterms:modified xsi:type="dcterms:W3CDTF">2026-03-12T09:51:56Z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8BD7A8CC0E99452E919FEF331678D48C_11</vt:lpwstr>
  </property>
  <property fmtid="{D5CDD505-2E9C-101B-9397-08002B2CF9AE}" pid="4" name="KSOTemplateDocerSaveRecord">
    <vt:lpwstr>eyJoZGlkIjoiZTYxMTU4YzExOTBiMGFhMDhiMzExNTgyZTEzMjZiZjIiLCJ1c2VySWQiOiI1NjI5OTAwMDUifQ==</vt:lpwstr>
  </property>
</Properties>
</file>