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D8" w:rsidRDefault="004D6765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bookmarkStart w:id="0" w:name="OLE_LINK41"/>
      <w:bookmarkStart w:id="1" w:name="OLE_LINK40"/>
      <w:r>
        <w:rPr>
          <w:rFonts w:ascii="方正小标宋简体" w:eastAsia="方正小标宋简体" w:hAnsi="宋体" w:cs="Times New Roman" w:hint="eastAsia"/>
          <w:sz w:val="44"/>
          <w:szCs w:val="44"/>
        </w:rPr>
        <w:t>恩平市2025年第三次本级财政预算</w:t>
      </w:r>
    </w:p>
    <w:p w:rsidR="00F803D8" w:rsidRDefault="004D6765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调整方案</w:t>
      </w:r>
    </w:p>
    <w:bookmarkEnd w:id="0"/>
    <w:bookmarkEnd w:id="1"/>
    <w:p w:rsidR="00F803D8" w:rsidRDefault="00F803D8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根据预算执行情况和省财政体制改革要求，市财政局分别在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月和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月完成第一次预算调整和第二次预算调整。结合土地出让的完成情况及上级下达我市新增债券和再融资</w:t>
      </w:r>
      <w:bookmarkStart w:id="2" w:name="_GoBack"/>
      <w:bookmarkEnd w:id="2"/>
      <w:r w:rsidRPr="005740F3">
        <w:rPr>
          <w:rFonts w:ascii="宋体" w:eastAsia="方正仿宋简体" w:hAnsi="宋体" w:cs="方正仿宋简体" w:hint="eastAsia"/>
          <w:sz w:val="32"/>
          <w:szCs w:val="32"/>
        </w:rPr>
        <w:t>债券转贷收入等，拟对有关收支安排进行调整，根据《中华人民共和国预算法》《广东省预算审批监督条例》以及地方政府债券管理的有关规定，现将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年市本级预算第三次调整方案报告如下：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 w:rsidRPr="005740F3">
        <w:rPr>
          <w:rFonts w:ascii="宋体" w:eastAsia="黑体" w:hAnsi="宋体" w:cs="黑体" w:hint="eastAsia"/>
          <w:sz w:val="32"/>
          <w:szCs w:val="32"/>
        </w:rPr>
        <w:t>一、一般公共预算调整</w:t>
      </w:r>
    </w:p>
    <w:p w:rsidR="005740F3" w:rsidRPr="005740F3" w:rsidRDefault="005740F3" w:rsidP="005740F3">
      <w:pPr>
        <w:spacing w:line="600" w:lineRule="exact"/>
        <w:ind w:firstLineChars="200" w:firstLine="643"/>
        <w:rPr>
          <w:rFonts w:ascii="宋体" w:eastAsia="方正仿宋简体" w:hAnsi="宋体" w:cs="方正仿宋简体" w:hint="eastAsia"/>
          <w:b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本级组织的一般公共预算收入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178,540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万元，加上上级补助收入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226,922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万元、上年结转收入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13,265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万元、一般债务转贷收入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15,728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万元、调入资金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17,844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万元、动用预算稳定调节基金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30,337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万元，区域间转移性收入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21,685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万元，总收入为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504,321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万元；一般公共预算支出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454,231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万元，加上上解支出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46,919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万元，一般债券还本支出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3,171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万元，总支出为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504,321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万元，实现收支平衡。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（一）收入调整事项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一般公共预算总收入由第二次预算调整的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493,722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万元调增为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504,321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10,599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万元，具体情况如下：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1.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一般公共预算收入减少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2,858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万元，主要是根据上级要求，第二次预算调整方案“四税收入”需按照年初预算收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入目标平移换算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,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新口径一般公共预算收入与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年实绩对比可比口径增长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4.53%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，现结合我市实际完成情况，将一般公共预算收入调整为可比口径增长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3%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2.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地方政府一般债务转贷收入增加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13,728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万元，根据《广东省财政厅关于下达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月地方政府再融资债券转贷指标的通知》（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粤财债〔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63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号）、《广东省财政厅关于下达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月下旬地方政府再融资债券转贷指标的通知》（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粤财债〔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75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号）、《广东省财政厅关于下达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月第二批地方政府再融资债券转贷资金的通知》（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粤财债〔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92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号）等文件，上级共下达我市再融资债券转贷资金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13,728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3.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调入资金减少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2,323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万元，主要是政府性基金预算收入未达预期，减少调出资金。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4.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动用预算稳定调节基金增加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10,908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万元，主要是收回历年滚存的结余资金。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5.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区域间转移性收入减少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8,856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万元，根据拆旧复垦指标实际收入调整。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（二）支出调整事项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一般公共预算总支出由第二次预算调整的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493,722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万元调整为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504,321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万元，即增加支出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10,599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万元，具体情况如下（详见附件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1.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增加安排支出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57,912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万元，主要项目有：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）新增加预算安排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21,312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万元，主要项目：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促进民办普通本科高校发展扶持资金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2,036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万元，主要是用于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北理珠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一期竣工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验收奖补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资金。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镇级统筹运转经费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2,022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万元，主要是结合镇运转情况本次调整增加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2,022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财政对城乡居民基本医疗保险补助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6,460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万元，主要是增加上划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年应支未支城乡居民基本医疗保险补助资金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 xml:space="preserve"> 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债券付息支出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1,240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万元，主要是年初预算安排不足，需增加预算。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税务局征收经费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2,020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万元，主要是年初预算安排不足，根据实际需求增加预算。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中山帮扶专项资金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万元，根据《关于使用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年度中山市南头镇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-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恩平市对口产业协作资金的复函》（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恩府办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函〔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644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号）的批复意见，将中山帮扶专项资金纳入预算调整方案安排支出。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2023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年城市燃气管道等老化更新改造和保障性安居工程专项资金（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江财建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1,060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万元，该项资金为收回存量资金，根据项目需求，纳入预算调整安排支出。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）由政府性基金预算调整到公共预算安排支出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36,600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万元。主要是土地出让收入未达预期，根据基金预算“以收定支”的原则，将部分原在基金预算安排的支出调整到一般公共预算，主要包括（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万元以上项目）：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拆旧复垦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8,131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环卫一体化和市场化项目专项资金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4,626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农村环卫一体化项目专项资金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3,311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促进民办普通本科高校发展扶持资金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2,545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;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交通工程建设及资本金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2,650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以前年度预付资金项目安排的支出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;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资产办重点项目建设资金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1,129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恩平市小水电站清理整改资金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2.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减少支出安排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50,167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万元，主要是根据预算执行情况及预算紧平衡情况，减少部分非必要的支出。调减的项目有：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）调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减收回存量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资金安排的支出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29,936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万元（主要是收回上级结转的资金，根据项目需要还需继续支出）；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）减少本级项目支出安排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20,231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万元，主要项目有：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“百千万工程”专项资金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3,400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机关养老保险缺口财政兜底资金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1,900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机关养老保险和职业年金补缴及清算资金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1,850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亲商招商扶持资金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自然资源执法土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变规划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测绘等业务费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704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地方储备粮轮换亏损补贴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680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促进教育发展专项资金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自主创新扶持专项经费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3.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地方政府一般债券还本支出增加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2,854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万元。主要是年初预算因财力不足，需增加预算。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（三）“三保”预算调整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在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年预算执行过程中，根据实际需求，我市重新核定一般公共预算安排省定“三保”资金共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290,418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万元，其中，保工资支出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175,404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万元，保运转支出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4,300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万元，保基本民生支出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110,714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主要是将财政对机关事业单位养老保险的补助由年初的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13,000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万元调整为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11,100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万元，压减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1,900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理由是：年初“中人”重算的差额补发政策不确定，对资金需求预算按最大限度进行编制，政策落地后采用分年度补发，资金需求减少，为保证预算执行率，社保基金预算进行相应调整，一般公共预算也进行相应调整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 w:rsidRPr="005740F3">
        <w:rPr>
          <w:rFonts w:ascii="宋体" w:eastAsia="黑体" w:hAnsi="宋体" w:cs="黑体" w:hint="eastAsia"/>
          <w:sz w:val="32"/>
          <w:szCs w:val="32"/>
        </w:rPr>
        <w:t>二、政府性基金预算调整</w:t>
      </w:r>
    </w:p>
    <w:p w:rsidR="005740F3" w:rsidRPr="005740F3" w:rsidRDefault="005740F3" w:rsidP="005740F3">
      <w:pPr>
        <w:spacing w:line="600" w:lineRule="exact"/>
        <w:ind w:firstLineChars="200" w:firstLine="643"/>
        <w:rPr>
          <w:rFonts w:ascii="宋体" w:eastAsia="方正仿宋简体" w:hAnsi="宋体" w:cs="方正仿宋简体" w:hint="eastAsia"/>
          <w:b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本级组织的政府性基金预算收入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42,630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万元，加上上年结转收入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48,461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万元，专项补助收入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2,624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万元，专项债务转贷收入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179,545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万元，总收入为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273,260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万元。基金预算支出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269,610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万元，加上专项债务还本支出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2,399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万元，上解支出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500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万元，总支出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272,509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万元，收支结余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751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（一）收入调整事项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政府性基金预算总收入由第二次预算调整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300,875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万元调整为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273,260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27,615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万元，具体如下：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1.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本级组织的政府性基金预算收入由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102,630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万元调整为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42,630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万元，调减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60,000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万元，主要是土地出让收入调减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60,000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2.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地方政府专项债务转贷收入增加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32,385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万元。根据《广东省财政厅关于下达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月下旬地方政府再融资债券转贷指标的通知》（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粤财债〔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75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号）、《广东省财政厅关于下达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月第二批地方政府再融资债券转贷资金的通知》（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粤财债〔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92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号）等文件，上级共下达我市再融资专项债券转贷资金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8,135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万元；根据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《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广东省财政厅关于下达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月地方政府新增债券转贷资金的通知（粤财债〔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〕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90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号）上级下达我市新增专项债券转贷资金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24,250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（二）支出调整事项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政府性基金预算总支出由第一次预算调整的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300,121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万元调整为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272,509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27,613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万元，具体情况如下（详见附件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1.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增加安排支出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35,542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万元，主要包括：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）专项债券转贷资金安排项目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31,250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万元，其中，恩平工业园职教园区项目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万元，广东省恩平市老旧小区改造项目（三期）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万元，广东省恩平市锦江河综合治理项目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12,000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万元，恩平市镇海湾区供水工程项目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万元，恩平市水电站提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质改造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6,250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万元，城区生活污水处理厂（三期）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PPP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万元、恩平工业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园大槐片区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（塘冲）基础设施建设项目（二期）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万元等。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）增加预算安排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4,292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万元，主要项目：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专项债券付息支出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2,702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万元，主要是年初预算因财力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不足，需增加预算。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市和镇征地拆迁补偿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1,115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万元，主要是根据实际需要增加征地资金。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各镇污水处理维护经费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万元，根据实际收入安排支出，需增加预算。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2.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调减支出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51,488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万元，主要包括：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）根据土地出让收入完成情况，需调减部分项目安排到一般公共预算支出，共调减基金预算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36,600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）调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减收回存量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资金安排的支出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2,238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万元（主要是收回上级结转的资金，根据项目需要还需继续支出）。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（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）预算执行过程中，结合财力减少部分非必要的项目支出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12,650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万元，主要项目有：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市政工程资金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1,000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PPP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项目可行性缺口补助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950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那吉镇矿山生态修复工程项目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900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恩平工业园建设资金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888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重点项目建设资金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871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耕地保护与修复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674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各镇村镇基础设施配套费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600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交通安全隐患整治工作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431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广东省自然灾害应急能力提升工程基层防灾项目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315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3.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专项债务还本支出增加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1,199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万元，主要是年初预算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因财力不足，需增加预算。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4.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调出资金减少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12,866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万元，主要是政府性基金预算收入短收，减少调出资金。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5.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政府性基金预算实行专项收支管理，因土地出让收入短收，“征地和拆迁补偿支出”科目存在缺口，从“征地和拆迁补偿支出”科目调整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4,616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万元到其他科目，相应增加了其他科目支出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,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总体支出数不变。具体为：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其中：调整到“污水处理费安排的支出”科目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200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万元；调整到“城市基础设施配套费安排的支出”科目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3,634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万元；调整到“农业土地开发资金安排的支出”科目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782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 w:rsidRPr="005740F3">
        <w:rPr>
          <w:rFonts w:ascii="宋体" w:eastAsia="黑体" w:hAnsi="宋体" w:cs="黑体" w:hint="eastAsia"/>
          <w:sz w:val="32"/>
          <w:szCs w:val="32"/>
        </w:rPr>
        <w:t>三、国有资本经营预算调整</w:t>
      </w:r>
    </w:p>
    <w:p w:rsidR="005740F3" w:rsidRPr="005740F3" w:rsidRDefault="005740F3" w:rsidP="005740F3">
      <w:pPr>
        <w:spacing w:line="600" w:lineRule="exact"/>
        <w:ind w:firstLineChars="200" w:firstLine="643"/>
        <w:rPr>
          <w:rFonts w:ascii="宋体" w:eastAsia="方正仿宋简体" w:hAnsi="宋体" w:cs="方正仿宋简体" w:hint="eastAsia"/>
          <w:b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本级组织的国有资本经营预算收入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1,147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万元，加上上年结转收入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69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万元，专项补助收入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13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万元，总收入为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1,229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万元。国有资本经营预算支出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176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万元，加上调出资金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1,053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万元，总支出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1,229</w:t>
      </w:r>
      <w:r w:rsidRPr="005740F3">
        <w:rPr>
          <w:rFonts w:ascii="宋体" w:eastAsia="方正仿宋简体" w:hAnsi="宋体" w:cs="方正仿宋简体" w:hint="eastAsia"/>
          <w:b/>
          <w:sz w:val="32"/>
          <w:szCs w:val="32"/>
        </w:rPr>
        <w:t>万元，实现收支平衡。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（一）收入无调整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楷体简体" w:hAnsi="宋体" w:cs="方正楷体简体" w:hint="eastAsia"/>
          <w:bCs/>
          <w:sz w:val="32"/>
          <w:szCs w:val="32"/>
        </w:rPr>
      </w:pPr>
      <w:r w:rsidRPr="005740F3">
        <w:rPr>
          <w:rFonts w:ascii="宋体" w:eastAsia="方正楷体简体" w:hAnsi="宋体" w:cs="方正楷体简体" w:hint="eastAsia"/>
          <w:bCs/>
          <w:sz w:val="32"/>
          <w:szCs w:val="32"/>
        </w:rPr>
        <w:t>（二）支出调整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国有资本经营预算主要是项目间支出调整，总支出无变化，主要变化情况是：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1.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因库款不足未能安排支出，调减项目包括：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国有企业发展改革专项资金减少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74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物业管理费减少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446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万元；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国有资产</w:t>
      </w:r>
      <w:proofErr w:type="gramStart"/>
      <w:r w:rsidRPr="005740F3">
        <w:rPr>
          <w:rFonts w:ascii="宋体" w:eastAsia="方正仿宋简体" w:hAnsi="宋体" w:cs="方正仿宋简体" w:hint="eastAsia"/>
          <w:sz w:val="32"/>
          <w:szCs w:val="32"/>
        </w:rPr>
        <w:t>收益征管经费</w:t>
      </w:r>
      <w:proofErr w:type="gramEnd"/>
      <w:r w:rsidRPr="005740F3">
        <w:rPr>
          <w:rFonts w:ascii="宋体" w:eastAsia="方正仿宋简体" w:hAnsi="宋体" w:cs="方正仿宋简体" w:hint="eastAsia"/>
          <w:sz w:val="32"/>
          <w:szCs w:val="32"/>
        </w:rPr>
        <w:t>减少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23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</w:t>
      </w:r>
    </w:p>
    <w:p w:rsidR="005740F3" w:rsidRPr="005740F3" w:rsidRDefault="005740F3" w:rsidP="005740F3">
      <w:pPr>
        <w:spacing w:line="600" w:lineRule="exact"/>
        <w:ind w:firstLineChars="200" w:firstLine="640"/>
        <w:rPr>
          <w:rFonts w:ascii="宋体" w:eastAsia="方正仿宋简体" w:hAnsi="宋体" w:cs="方正仿宋简体" w:hint="eastAsia"/>
          <w:b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lastRenderedPageBreak/>
        <w:t>2.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调出资金增加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543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万元。主要是国有资本经营预算结余增加，增加调出用于平衡一般公共预算的资金。</w:t>
      </w:r>
    </w:p>
    <w:p w:rsidR="005740F3" w:rsidRPr="005740F3" w:rsidRDefault="005740F3" w:rsidP="005740F3">
      <w:pPr>
        <w:spacing w:line="600" w:lineRule="exact"/>
        <w:rPr>
          <w:rFonts w:ascii="宋体" w:eastAsia="方正仿宋简体" w:hAnsi="宋体" w:cs="方正仿宋简体" w:hint="eastAsia"/>
          <w:sz w:val="32"/>
          <w:szCs w:val="32"/>
        </w:rPr>
      </w:pPr>
    </w:p>
    <w:p w:rsidR="005740F3" w:rsidRPr="005740F3" w:rsidRDefault="005740F3" w:rsidP="005740F3">
      <w:pPr>
        <w:spacing w:line="600" w:lineRule="exact"/>
        <w:ind w:leftChars="200" w:left="1380" w:hangingChars="300" w:hanging="96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附件：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1.2025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年恩平市一般公共预算收支第三次调整情况表</w:t>
      </w:r>
    </w:p>
    <w:p w:rsidR="005740F3" w:rsidRPr="005740F3" w:rsidRDefault="005740F3" w:rsidP="005740F3">
      <w:pPr>
        <w:spacing w:line="600" w:lineRule="exact"/>
        <w:ind w:leftChars="500" w:left="1370" w:hangingChars="100" w:hanging="32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2.2025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年恩平市一般公共预算支出本级项目第三次调整计划</w:t>
      </w:r>
    </w:p>
    <w:p w:rsidR="005740F3" w:rsidRPr="005740F3" w:rsidRDefault="005740F3" w:rsidP="005740F3">
      <w:pPr>
        <w:spacing w:line="600" w:lineRule="exact"/>
        <w:ind w:leftChars="500" w:left="1370" w:hangingChars="100" w:hanging="32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3.2025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年恩平市政府性基金预算收支第三次调整情况表</w:t>
      </w:r>
    </w:p>
    <w:p w:rsidR="005740F3" w:rsidRPr="005740F3" w:rsidRDefault="005740F3" w:rsidP="005740F3">
      <w:pPr>
        <w:spacing w:line="600" w:lineRule="exact"/>
        <w:ind w:leftChars="500" w:left="1370" w:hangingChars="100" w:hanging="32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4.2025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年恩平市政府性基金预算支出本级项目第三次调整计划</w:t>
      </w:r>
    </w:p>
    <w:p w:rsidR="005740F3" w:rsidRPr="005740F3" w:rsidRDefault="005740F3" w:rsidP="005740F3">
      <w:pPr>
        <w:spacing w:line="600" w:lineRule="exact"/>
        <w:ind w:leftChars="500" w:left="1050"/>
        <w:rPr>
          <w:rFonts w:ascii="宋体" w:eastAsia="方正仿宋简体" w:hAnsi="宋体" w:cs="方正仿宋简体" w:hint="eastAsia"/>
          <w:sz w:val="32"/>
          <w:szCs w:val="32"/>
        </w:rPr>
      </w:pPr>
      <w:r w:rsidRPr="005740F3">
        <w:rPr>
          <w:rFonts w:ascii="宋体" w:eastAsia="方正仿宋简体" w:hAnsi="宋体" w:cs="方正仿宋简体" w:hint="eastAsia"/>
          <w:sz w:val="32"/>
          <w:szCs w:val="32"/>
        </w:rPr>
        <w:t>5.2025</w:t>
      </w:r>
      <w:r w:rsidRPr="005740F3">
        <w:rPr>
          <w:rFonts w:ascii="宋体" w:eastAsia="方正仿宋简体" w:hAnsi="宋体" w:cs="方正仿宋简体" w:hint="eastAsia"/>
          <w:sz w:val="32"/>
          <w:szCs w:val="32"/>
        </w:rPr>
        <w:t>年恩平市国有资本经营收支调整情况表</w:t>
      </w:r>
    </w:p>
    <w:p w:rsidR="00F803D8" w:rsidRPr="005740F3" w:rsidRDefault="004D6765">
      <w:pPr>
        <w:spacing w:line="600" w:lineRule="exact"/>
        <w:ind w:leftChars="760" w:left="1756" w:hangingChars="50" w:hanging="160"/>
        <w:rPr>
          <w:rFonts w:ascii="仿宋_GB2312" w:eastAsia="仿宋_GB2312" w:hAnsi="Times New Roman" w:cs="Times New Roman"/>
          <w:sz w:val="32"/>
          <w:szCs w:val="32"/>
        </w:rPr>
      </w:pPr>
      <w:r w:rsidRPr="005740F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</w:p>
    <w:p w:rsidR="00F803D8" w:rsidRPr="005740F3" w:rsidRDefault="00F803D8">
      <w:pPr>
        <w:spacing w:line="600" w:lineRule="exact"/>
        <w:ind w:leftChars="760" w:left="1756" w:hangingChars="50" w:hanging="160"/>
        <w:rPr>
          <w:rFonts w:ascii="仿宋_GB2312" w:eastAsia="仿宋_GB2312" w:hAnsi="Times New Roman" w:cs="Times New Roman"/>
          <w:sz w:val="32"/>
          <w:szCs w:val="32"/>
        </w:rPr>
      </w:pPr>
    </w:p>
    <w:p w:rsidR="00F803D8" w:rsidRPr="005740F3" w:rsidRDefault="004D6765">
      <w:pPr>
        <w:spacing w:line="600" w:lineRule="exact"/>
        <w:ind w:leftChars="760" w:left="1756" w:hangingChars="50" w:hanging="160"/>
        <w:rPr>
          <w:rFonts w:ascii="仿宋_GB2312" w:eastAsia="仿宋_GB2312" w:hAnsi="Times New Roman" w:cs="Times New Roman"/>
          <w:sz w:val="32"/>
          <w:szCs w:val="32"/>
        </w:rPr>
      </w:pPr>
      <w:r w:rsidRPr="005740F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                    </w:t>
      </w:r>
    </w:p>
    <w:p w:rsidR="00F803D8" w:rsidRPr="005740F3" w:rsidRDefault="004D6765">
      <w:pPr>
        <w:spacing w:line="600" w:lineRule="exact"/>
        <w:ind w:leftChars="760" w:left="1756" w:hangingChars="50" w:hanging="160"/>
        <w:rPr>
          <w:rFonts w:ascii="仿宋_GB2312" w:eastAsia="仿宋_GB2312" w:hAnsi="Times New Roman" w:cs="Times New Roman"/>
          <w:sz w:val="32"/>
          <w:szCs w:val="32"/>
        </w:rPr>
      </w:pPr>
      <w:r w:rsidRPr="005740F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sectPr w:rsidR="00F803D8" w:rsidRPr="005740F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75" w:rsidRDefault="00666775">
      <w:r>
        <w:separator/>
      </w:r>
    </w:p>
  </w:endnote>
  <w:endnote w:type="continuationSeparator" w:id="0">
    <w:p w:rsidR="00666775" w:rsidRDefault="0066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D8" w:rsidRDefault="004D676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03D8" w:rsidRDefault="00F803D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D8" w:rsidRDefault="004D6765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</w:rPr>
      <w:t>—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 w:rsidR="005740F3">
      <w:rPr>
        <w:rStyle w:val="a6"/>
        <w:noProof/>
        <w:sz w:val="24"/>
        <w:szCs w:val="24"/>
      </w:rPr>
      <w:t>1</w:t>
    </w:r>
    <w:r>
      <w:rPr>
        <w:rStyle w:val="a6"/>
        <w:sz w:val="24"/>
        <w:szCs w:val="24"/>
      </w:rPr>
      <w:fldChar w:fldCharType="end"/>
    </w:r>
    <w:r>
      <w:rPr>
        <w:rStyle w:val="a6"/>
        <w:rFonts w:hint="eastAsia"/>
      </w:rPr>
      <w:t>—</w:t>
    </w:r>
  </w:p>
  <w:p w:rsidR="00F803D8" w:rsidRDefault="00F803D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75" w:rsidRDefault="00666775">
      <w:r>
        <w:separator/>
      </w:r>
    </w:p>
  </w:footnote>
  <w:footnote w:type="continuationSeparator" w:id="0">
    <w:p w:rsidR="00666775" w:rsidRDefault="0066677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温灵芝">
    <w15:presenceInfo w15:providerId="None" w15:userId="温灵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83"/>
    <w:rsid w:val="9FF5249F"/>
    <w:rsid w:val="BD9D51C4"/>
    <w:rsid w:val="C8DC0343"/>
    <w:rsid w:val="DF4F2488"/>
    <w:rsid w:val="F70F9A00"/>
    <w:rsid w:val="FB7D94AF"/>
    <w:rsid w:val="FCABF95F"/>
    <w:rsid w:val="FF6F500B"/>
    <w:rsid w:val="00006085"/>
    <w:rsid w:val="00007468"/>
    <w:rsid w:val="00010623"/>
    <w:rsid w:val="00010EA4"/>
    <w:rsid w:val="00022D0A"/>
    <w:rsid w:val="00025AB1"/>
    <w:rsid w:val="000308D3"/>
    <w:rsid w:val="00047035"/>
    <w:rsid w:val="0006390D"/>
    <w:rsid w:val="000877D6"/>
    <w:rsid w:val="00087943"/>
    <w:rsid w:val="00097B1F"/>
    <w:rsid w:val="000A6828"/>
    <w:rsid w:val="000B53E3"/>
    <w:rsid w:val="000C774A"/>
    <w:rsid w:val="000D0443"/>
    <w:rsid w:val="000D6D2E"/>
    <w:rsid w:val="000E6238"/>
    <w:rsid w:val="001169EB"/>
    <w:rsid w:val="00117460"/>
    <w:rsid w:val="00134FCE"/>
    <w:rsid w:val="00150413"/>
    <w:rsid w:val="001520AF"/>
    <w:rsid w:val="001529F1"/>
    <w:rsid w:val="00193571"/>
    <w:rsid w:val="001A2CF5"/>
    <w:rsid w:val="001B1249"/>
    <w:rsid w:val="001C3411"/>
    <w:rsid w:val="001C6013"/>
    <w:rsid w:val="001D2A5B"/>
    <w:rsid w:val="001E0614"/>
    <w:rsid w:val="001E172A"/>
    <w:rsid w:val="001E621C"/>
    <w:rsid w:val="001F259D"/>
    <w:rsid w:val="0022087C"/>
    <w:rsid w:val="00240795"/>
    <w:rsid w:val="00242E1F"/>
    <w:rsid w:val="00247909"/>
    <w:rsid w:val="00260099"/>
    <w:rsid w:val="0026362E"/>
    <w:rsid w:val="002775F1"/>
    <w:rsid w:val="002813C4"/>
    <w:rsid w:val="002820D2"/>
    <w:rsid w:val="00296879"/>
    <w:rsid w:val="002A3664"/>
    <w:rsid w:val="002A6A9F"/>
    <w:rsid w:val="002C49AD"/>
    <w:rsid w:val="002D736D"/>
    <w:rsid w:val="002E5A40"/>
    <w:rsid w:val="00305805"/>
    <w:rsid w:val="00311DBD"/>
    <w:rsid w:val="00312631"/>
    <w:rsid w:val="00315060"/>
    <w:rsid w:val="0031723E"/>
    <w:rsid w:val="00320886"/>
    <w:rsid w:val="00340C1F"/>
    <w:rsid w:val="00350AFA"/>
    <w:rsid w:val="0035274E"/>
    <w:rsid w:val="00361777"/>
    <w:rsid w:val="0036417D"/>
    <w:rsid w:val="003650BC"/>
    <w:rsid w:val="00367FA7"/>
    <w:rsid w:val="00371166"/>
    <w:rsid w:val="00376A24"/>
    <w:rsid w:val="00383B1B"/>
    <w:rsid w:val="0039001A"/>
    <w:rsid w:val="00394A52"/>
    <w:rsid w:val="00396A74"/>
    <w:rsid w:val="00397BC8"/>
    <w:rsid w:val="003A14E5"/>
    <w:rsid w:val="003B36D2"/>
    <w:rsid w:val="003B4C98"/>
    <w:rsid w:val="003B6128"/>
    <w:rsid w:val="003B67B7"/>
    <w:rsid w:val="003B7DD1"/>
    <w:rsid w:val="003B7FA1"/>
    <w:rsid w:val="003D0C62"/>
    <w:rsid w:val="003D1AB0"/>
    <w:rsid w:val="003D5CF5"/>
    <w:rsid w:val="003D5ECE"/>
    <w:rsid w:val="003D7251"/>
    <w:rsid w:val="003E69EE"/>
    <w:rsid w:val="003F0771"/>
    <w:rsid w:val="003F18D0"/>
    <w:rsid w:val="00407352"/>
    <w:rsid w:val="00407488"/>
    <w:rsid w:val="004114F1"/>
    <w:rsid w:val="00415295"/>
    <w:rsid w:val="0041561B"/>
    <w:rsid w:val="00422A8A"/>
    <w:rsid w:val="004248D0"/>
    <w:rsid w:val="004335A0"/>
    <w:rsid w:val="00434A18"/>
    <w:rsid w:val="00434C42"/>
    <w:rsid w:val="004376F7"/>
    <w:rsid w:val="00452779"/>
    <w:rsid w:val="004578FA"/>
    <w:rsid w:val="00466CF6"/>
    <w:rsid w:val="00481150"/>
    <w:rsid w:val="004964E3"/>
    <w:rsid w:val="004A72E6"/>
    <w:rsid w:val="004B3DA8"/>
    <w:rsid w:val="004D6765"/>
    <w:rsid w:val="004E1B9A"/>
    <w:rsid w:val="00511F20"/>
    <w:rsid w:val="0051215E"/>
    <w:rsid w:val="005218DC"/>
    <w:rsid w:val="00524280"/>
    <w:rsid w:val="005328EE"/>
    <w:rsid w:val="00540BD4"/>
    <w:rsid w:val="0054276D"/>
    <w:rsid w:val="005575FF"/>
    <w:rsid w:val="00562559"/>
    <w:rsid w:val="005660EB"/>
    <w:rsid w:val="005740F3"/>
    <w:rsid w:val="0058795D"/>
    <w:rsid w:val="005967EA"/>
    <w:rsid w:val="00597520"/>
    <w:rsid w:val="005B193D"/>
    <w:rsid w:val="005C1551"/>
    <w:rsid w:val="005C559C"/>
    <w:rsid w:val="005E1291"/>
    <w:rsid w:val="00605B65"/>
    <w:rsid w:val="00605E4D"/>
    <w:rsid w:val="006076A3"/>
    <w:rsid w:val="00615B3D"/>
    <w:rsid w:val="0062293E"/>
    <w:rsid w:val="00625EA1"/>
    <w:rsid w:val="00650F75"/>
    <w:rsid w:val="00653151"/>
    <w:rsid w:val="0065386D"/>
    <w:rsid w:val="0066464A"/>
    <w:rsid w:val="00666775"/>
    <w:rsid w:val="006A5B40"/>
    <w:rsid w:val="006B2F0F"/>
    <w:rsid w:val="006B30FC"/>
    <w:rsid w:val="006C2EC5"/>
    <w:rsid w:val="006C6767"/>
    <w:rsid w:val="006D3973"/>
    <w:rsid w:val="006D4690"/>
    <w:rsid w:val="006E4C6C"/>
    <w:rsid w:val="006F7532"/>
    <w:rsid w:val="0070715A"/>
    <w:rsid w:val="0073345B"/>
    <w:rsid w:val="0073432C"/>
    <w:rsid w:val="00734935"/>
    <w:rsid w:val="00747E0B"/>
    <w:rsid w:val="0076013C"/>
    <w:rsid w:val="00770E95"/>
    <w:rsid w:val="007736EA"/>
    <w:rsid w:val="00775B1C"/>
    <w:rsid w:val="007A05B4"/>
    <w:rsid w:val="008017CB"/>
    <w:rsid w:val="00822A75"/>
    <w:rsid w:val="00823B8A"/>
    <w:rsid w:val="00836928"/>
    <w:rsid w:val="008404C5"/>
    <w:rsid w:val="008404F4"/>
    <w:rsid w:val="00853D97"/>
    <w:rsid w:val="0086344D"/>
    <w:rsid w:val="00871739"/>
    <w:rsid w:val="0089193E"/>
    <w:rsid w:val="008B0738"/>
    <w:rsid w:val="008C5C57"/>
    <w:rsid w:val="008D3372"/>
    <w:rsid w:val="008F58C4"/>
    <w:rsid w:val="008F58D2"/>
    <w:rsid w:val="00902AD2"/>
    <w:rsid w:val="009108DA"/>
    <w:rsid w:val="00915E0E"/>
    <w:rsid w:val="00920523"/>
    <w:rsid w:val="00921388"/>
    <w:rsid w:val="009444EF"/>
    <w:rsid w:val="0096305F"/>
    <w:rsid w:val="009A13E3"/>
    <w:rsid w:val="009B1592"/>
    <w:rsid w:val="009C0698"/>
    <w:rsid w:val="009D0C5F"/>
    <w:rsid w:val="009E2EBF"/>
    <w:rsid w:val="009E4A63"/>
    <w:rsid w:val="009F27A1"/>
    <w:rsid w:val="009F573D"/>
    <w:rsid w:val="00A124A8"/>
    <w:rsid w:val="00A1663B"/>
    <w:rsid w:val="00A243AD"/>
    <w:rsid w:val="00A333C5"/>
    <w:rsid w:val="00A362BE"/>
    <w:rsid w:val="00A477F7"/>
    <w:rsid w:val="00A52F78"/>
    <w:rsid w:val="00A65A62"/>
    <w:rsid w:val="00A74C7D"/>
    <w:rsid w:val="00A776E5"/>
    <w:rsid w:val="00A9590F"/>
    <w:rsid w:val="00AA5B23"/>
    <w:rsid w:val="00AB1F11"/>
    <w:rsid w:val="00AB2A4C"/>
    <w:rsid w:val="00AB4FDB"/>
    <w:rsid w:val="00AC640C"/>
    <w:rsid w:val="00AE4486"/>
    <w:rsid w:val="00AF40E1"/>
    <w:rsid w:val="00B4206F"/>
    <w:rsid w:val="00B51BD9"/>
    <w:rsid w:val="00B877BC"/>
    <w:rsid w:val="00B97FC3"/>
    <w:rsid w:val="00BA62CE"/>
    <w:rsid w:val="00BB087D"/>
    <w:rsid w:val="00BB134F"/>
    <w:rsid w:val="00BC1E24"/>
    <w:rsid w:val="00BC2257"/>
    <w:rsid w:val="00BC2BD1"/>
    <w:rsid w:val="00BE2D3D"/>
    <w:rsid w:val="00BF0E81"/>
    <w:rsid w:val="00BF12E0"/>
    <w:rsid w:val="00BF5945"/>
    <w:rsid w:val="00BF77C6"/>
    <w:rsid w:val="00C02B85"/>
    <w:rsid w:val="00C16126"/>
    <w:rsid w:val="00C22AE2"/>
    <w:rsid w:val="00C248E7"/>
    <w:rsid w:val="00C52061"/>
    <w:rsid w:val="00C5238E"/>
    <w:rsid w:val="00C57AAB"/>
    <w:rsid w:val="00C84630"/>
    <w:rsid w:val="00C948B5"/>
    <w:rsid w:val="00C949D3"/>
    <w:rsid w:val="00CA5D23"/>
    <w:rsid w:val="00CA7441"/>
    <w:rsid w:val="00CB5305"/>
    <w:rsid w:val="00CC560A"/>
    <w:rsid w:val="00CD4033"/>
    <w:rsid w:val="00D017EE"/>
    <w:rsid w:val="00D12189"/>
    <w:rsid w:val="00D14DE4"/>
    <w:rsid w:val="00D26E4A"/>
    <w:rsid w:val="00D278C2"/>
    <w:rsid w:val="00D362A6"/>
    <w:rsid w:val="00D40BD2"/>
    <w:rsid w:val="00D40DD2"/>
    <w:rsid w:val="00D64544"/>
    <w:rsid w:val="00D861C8"/>
    <w:rsid w:val="00D90ED9"/>
    <w:rsid w:val="00DD553D"/>
    <w:rsid w:val="00DD77A3"/>
    <w:rsid w:val="00DE7A62"/>
    <w:rsid w:val="00E04751"/>
    <w:rsid w:val="00E133CE"/>
    <w:rsid w:val="00E15FBA"/>
    <w:rsid w:val="00E23918"/>
    <w:rsid w:val="00E24C6D"/>
    <w:rsid w:val="00E450DC"/>
    <w:rsid w:val="00E51825"/>
    <w:rsid w:val="00E652FF"/>
    <w:rsid w:val="00E65ADE"/>
    <w:rsid w:val="00E75E8D"/>
    <w:rsid w:val="00E924B2"/>
    <w:rsid w:val="00EA1520"/>
    <w:rsid w:val="00EB0FB5"/>
    <w:rsid w:val="00EB31B1"/>
    <w:rsid w:val="00EC2A9C"/>
    <w:rsid w:val="00EC5809"/>
    <w:rsid w:val="00ED6883"/>
    <w:rsid w:val="00F00DAA"/>
    <w:rsid w:val="00F06A51"/>
    <w:rsid w:val="00F16E32"/>
    <w:rsid w:val="00F53E15"/>
    <w:rsid w:val="00F57297"/>
    <w:rsid w:val="00F57844"/>
    <w:rsid w:val="00F632EA"/>
    <w:rsid w:val="00F66690"/>
    <w:rsid w:val="00F737FF"/>
    <w:rsid w:val="00F7585C"/>
    <w:rsid w:val="00F803D8"/>
    <w:rsid w:val="00FB7ADA"/>
    <w:rsid w:val="1FAC5900"/>
    <w:rsid w:val="3FFF310E"/>
    <w:rsid w:val="47EF7A4A"/>
    <w:rsid w:val="4BC82AE6"/>
    <w:rsid w:val="53F43564"/>
    <w:rsid w:val="6A3A4300"/>
    <w:rsid w:val="6FF64A09"/>
    <w:rsid w:val="71FFEC5F"/>
    <w:rsid w:val="75FB6A77"/>
    <w:rsid w:val="76EF4A87"/>
    <w:rsid w:val="7EEB6525"/>
    <w:rsid w:val="7FC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655</Words>
  <Characters>3738</Characters>
  <Application>Microsoft Office Word</Application>
  <DocSecurity>0</DocSecurity>
  <Lines>31</Lines>
  <Paragraphs>8</Paragraphs>
  <ScaleCrop>false</ScaleCrop>
  <Company>Microsoft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杨茜淇</dc:creator>
  <cp:lastModifiedBy>Lenovo</cp:lastModifiedBy>
  <cp:revision>186</cp:revision>
  <cp:lastPrinted>2025-12-08T10:54:00Z</cp:lastPrinted>
  <dcterms:created xsi:type="dcterms:W3CDTF">2021-08-18T19:10:00Z</dcterms:created>
  <dcterms:modified xsi:type="dcterms:W3CDTF">2025-12-31T09:15:00Z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D2DD4B30F5BD40F4A3EE68DE3D3315FA</vt:lpwstr>
  </property>
</Properties>
</file>