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1"/>
        <w:rPr>
          <w:rFonts w:hint="eastAsia" w:ascii="黑体" w:hAnsi="黑体" w:eastAsia="黑体"/>
          <w:sz w:val="32"/>
          <w:szCs w:val="32"/>
          <w:highlight w:val="none"/>
          <w:lang w:eastAsia="zh-CN"/>
        </w:rPr>
      </w:pPr>
    </w:p>
    <w:p>
      <w:pPr>
        <w:ind w:firstLine="640" w:firstLineChars="200"/>
        <w:outlineLvl w:val="1"/>
        <w:rPr>
          <w:rFonts w:ascii="仿宋_GB2312" w:eastAsia="仿宋_GB2312"/>
          <w:sz w:val="32"/>
          <w:szCs w:val="32"/>
          <w:highlight w:val="none"/>
        </w:rPr>
      </w:pPr>
    </w:p>
    <w:p>
      <w:pPr>
        <w:jc w:val="left"/>
        <w:rPr>
          <w:rFonts w:ascii="仿宋_GB2312" w:hAnsi="宋体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jc w:val="center"/>
        <w:rPr>
          <w:rFonts w:ascii="宋体" w:hAnsi="宋体" w:eastAsia="宋体" w:cs="宋体"/>
          <w:b/>
          <w:kern w:val="0"/>
          <w:sz w:val="44"/>
          <w:szCs w:val="44"/>
          <w:highlight w:val="none"/>
          <w:lang w:val="zh-CN"/>
        </w:rPr>
      </w:pPr>
      <w:r>
        <w:rPr>
          <w:rFonts w:hint="eastAsia" w:ascii="宋体" w:hAnsi="宋体" w:eastAsia="宋体" w:cs="宋体"/>
          <w:b/>
          <w:kern w:val="0"/>
          <w:sz w:val="44"/>
          <w:szCs w:val="44"/>
          <w:highlight w:val="none"/>
          <w:lang w:val="zh-CN"/>
        </w:rPr>
        <w:t>部门整体支出绩效自评报告</w:t>
      </w:r>
    </w:p>
    <w:p>
      <w:pPr>
        <w:rPr>
          <w:rFonts w:ascii="宋体" w:hAnsi="宋体" w:eastAsia="宋体" w:cs="宋体"/>
          <w:kern w:val="0"/>
          <w:sz w:val="44"/>
          <w:szCs w:val="44"/>
          <w:highlight w:val="none"/>
          <w:lang w:val="zh-CN"/>
        </w:rPr>
      </w:pPr>
    </w:p>
    <w:p>
      <w:pPr>
        <w:rPr>
          <w:rFonts w:ascii="宋体" w:hAnsi="宋体" w:eastAsia="宋体" w:cs="宋体"/>
          <w:kern w:val="0"/>
          <w:sz w:val="44"/>
          <w:szCs w:val="44"/>
          <w:highlight w:val="none"/>
          <w:lang w:val="zh-CN"/>
        </w:rPr>
      </w:pPr>
    </w:p>
    <w:p>
      <w:pPr>
        <w:rPr>
          <w:rFonts w:ascii="宋体" w:hAnsi="宋体" w:eastAsia="宋体" w:cs="宋体"/>
          <w:kern w:val="0"/>
          <w:sz w:val="44"/>
          <w:szCs w:val="44"/>
          <w:highlight w:val="none"/>
          <w:lang w:val="zh-CN"/>
        </w:rPr>
      </w:pPr>
    </w:p>
    <w:p>
      <w:pPr>
        <w:rPr>
          <w:rFonts w:ascii="宋体" w:hAnsi="宋体" w:eastAsia="宋体" w:cs="宋体"/>
          <w:kern w:val="0"/>
          <w:sz w:val="44"/>
          <w:szCs w:val="44"/>
          <w:highlight w:val="none"/>
          <w:lang w:val="zh-CN"/>
        </w:rPr>
      </w:pPr>
    </w:p>
    <w:p>
      <w:pPr>
        <w:rPr>
          <w:rFonts w:ascii="宋体" w:hAnsi="宋体" w:eastAsia="宋体" w:cs="宋体"/>
          <w:kern w:val="0"/>
          <w:sz w:val="44"/>
          <w:szCs w:val="44"/>
          <w:highlight w:val="none"/>
          <w:lang w:val="zh-CN"/>
        </w:rPr>
      </w:pPr>
    </w:p>
    <w:p>
      <w:pPr>
        <w:rPr>
          <w:rFonts w:ascii="宋体" w:hAnsi="宋体" w:eastAsia="宋体" w:cs="宋体"/>
          <w:kern w:val="0"/>
          <w:sz w:val="44"/>
          <w:szCs w:val="44"/>
          <w:highlight w:val="none"/>
          <w:lang w:val="zh-CN"/>
        </w:rPr>
      </w:pPr>
    </w:p>
    <w:p>
      <w:pPr>
        <w:jc w:val="left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jc w:val="left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jc w:val="left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jc w:val="left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jc w:val="left"/>
        <w:rPr>
          <w:rFonts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部门名称：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江门市公共资源交易中心恩平分中心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（公章）</w:t>
      </w:r>
    </w:p>
    <w:p>
      <w:pPr>
        <w:ind w:firstLine="0" w:firstLineChars="0"/>
        <w:jc w:val="left"/>
        <w:rPr>
          <w:rFonts w:hint="default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填报人：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刘功玲</w:t>
      </w:r>
    </w:p>
    <w:p>
      <w:pPr>
        <w:ind w:firstLine="0" w:firstLineChars="0"/>
        <w:jc w:val="left"/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联系电话：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7826332</w:t>
      </w:r>
    </w:p>
    <w:p>
      <w:pPr>
        <w:ind w:firstLine="0" w:firstLineChars="0"/>
        <w:jc w:val="left"/>
        <w:rPr>
          <w:rFonts w:hint="default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填报日期：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2025-10-13</w:t>
      </w:r>
    </w:p>
    <w:p>
      <w:pPr>
        <w:ind w:firstLine="3040" w:firstLineChars="950"/>
        <w:jc w:val="left"/>
        <w:rPr>
          <w:rFonts w:ascii="仿宋_GB2312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ind w:firstLine="3040" w:firstLineChars="950"/>
        <w:jc w:val="left"/>
        <w:rPr>
          <w:rFonts w:ascii="仿宋_GB2312" w:eastAsia="仿宋_GB2312" w:cs="宋体"/>
          <w:kern w:val="0"/>
          <w:sz w:val="32"/>
          <w:szCs w:val="32"/>
          <w:highlight w:val="none"/>
          <w:lang w:val="zh-CN"/>
        </w:rPr>
      </w:pPr>
    </w:p>
    <w:p>
      <w:pPr>
        <w:ind w:firstLine="0" w:firstLineChars="0"/>
        <w:rPr>
          <w:rFonts w:hint="eastAsia" w:ascii="黑体" w:hAnsi="黑体" w:eastAsia="黑体" w:cs="宋体"/>
          <w:kern w:val="0"/>
          <w:sz w:val="32"/>
          <w:szCs w:val="32"/>
          <w:highlight w:val="none"/>
          <w:lang w:val="zh-CN"/>
        </w:rPr>
      </w:pPr>
    </w:p>
    <w:p>
      <w:pPr>
        <w:ind w:firstLine="0" w:firstLineChars="0"/>
        <w:rPr>
          <w:rFonts w:hint="eastAsia" w:ascii="黑体" w:hAnsi="黑体" w:eastAsia="黑体" w:cs="宋体"/>
          <w:kern w:val="0"/>
          <w:sz w:val="32"/>
          <w:szCs w:val="32"/>
          <w:highlight w:val="none"/>
          <w:lang w:val="zh-CN"/>
        </w:rPr>
      </w:pPr>
    </w:p>
    <w:p>
      <w:pPr>
        <w:ind w:firstLine="640" w:firstLineChars="200"/>
        <w:rPr>
          <w:rFonts w:ascii="黑体" w:hAnsi="黑体" w:eastAsia="黑体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宋体"/>
          <w:kern w:val="0"/>
          <w:sz w:val="32"/>
          <w:szCs w:val="32"/>
          <w:highlight w:val="none"/>
          <w:lang w:val="zh-CN"/>
        </w:rPr>
        <w:t>一、部门基本情况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（一）部门职能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江门市公共资源交易中心恩平分中心是市直属公益一类事业单位，单位主要职责是：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）根据国家、省、市有关法律、法规和政策，制定公共资源进场交易业务操作规程，建立和完善内部管理制度。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）组织实施政府集中采购目录中通用项目的采购工作；为土地使用权、矿业权、工程建设项目招投标、国有产权等各类公共资源交易活动提供场所、设施和服务。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）核验市场主体、中介机构资格及进场交易项目资料。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）见证公共资源进场交易全过程，确认交易结果，维护交易秩序，整理和保存交易过程中的相关资料。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）承担公共资源交易平台，公共资源数据系统的建设、维护和管理，做好各类评标专家库使用的服务和日常管理工作。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收集、统计、存储和发布各类公共资源交易信息，对各类公共资源交易情况进行定期分析，向有关行业主管部门、行政监管部门报送业务信息和统计数据；协助做好公共资源交易相关法律、法规、政策和信息咨询的服务工作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）为公共资源进场交易行政监督工作提供监管平台，及时向有关部门报告并协助调查违法违规交易行为。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 xml:space="preserve">）建立公共资源现场交易信用和纪律档案，建设、维护、管理公共资源交易信用信息平台。  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）承办市委、市人民政府和市公共资源交易工作委员会交办的其他事项。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（二）年度总体工作和重点工作任务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（1）不断深化公共资源交易体制改革，深入推动公共资源交易体制改革向纵深拓展，加速电子化进程，着力打造规范高效的公共资源交易平台，有力推动了公共资源的优化配置与高效利用。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（2）持续做好网上中介服务超市推广应用。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（3）扎实推进招投标“评定分离”改革，打造阳光交易环境，全力推动招投标“评定分离”改革举措落地实施，实现 “评定分离”招投标全流程电子化操作。有效提升了招投标工作的公正性与透明度，促进了公共资源交易的健康发展。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4）打破区域限制，政府采购实现数字化转型。根据上级财政部门的要求，全市政府采购项目一律使用“广东政府采购智慧云平台电子交易系统”进行全流程电子化交易，全面实现政府采购业务“一网通办”“全线上、不见面、零跑动、降成本”的目标，兑现“让数据多跑腿、让企业少跑腿”的承诺。同时，为进一步优化“互联网+政府采购”，积极探索推行远程异地评标流程再造，努力构建“不见面开标+远程异地评标”模式，从而打破地域限制，推动优质专家资源跨区域、跨行业共享，有效减少评标专家的流动，降低市场主体制度性交易成本，提升政府采购公共服务质量，优化政府采购营商环境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5）大力推广土地交易电子签章应用，提升交易效率，积极推广土地交易系统“电子签章”无纸化签署应用，实现土地交易项目摘牌当日即可签订《成交确认书》，大幅缩短交易周期，全力助推企业实现“交地即动工”的目标，为重点项目的快速落地提供高效服务保障。显著提升了土地交易的效率和便捷性，有力推动了我市经济建设的快速发展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（6）持续推进创文工作常态化开展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（三）部门整体支出绩效目标情况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）加强党建引领，提升队伍向心力与战斗力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一是深化党纪教育，巩固主题教育成效。积极组织开展党纪学习教育</w:t>
      </w:r>
      <w:bookmarkStart w:id="0" w:name="_GoBack"/>
      <w:bookmarkEnd w:id="0"/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，引导中心全体党员干部深刻领悟党纪内涵，增强纪律意识，切实做到对党忠诚、清正廉洁、勇于担当，持续巩固拓展主题教育成果，为中心工作的开展筑牢思想根基。二是优化队伍建设，增强组织凝聚力。联合市政数局、行政服务中心制定并印发《2024年恩平市政数系统党建工作方案》，创新党支部组织生活形式，结合传统节日开展多样化的主题党日活动，如“清明祭英烈，传承英烈魂” 主题党日、义务植树志愿服务、“粽香传情，爱心传递”慈善包粽、“欢乐六一，亲子同行”竞答与游戏等共计21场主题党日活动，以及6场工会活动。同时，广泛开展联建共建活动，联合东安社区党支部开展“六一”困境儿童慰问、“七一”老党员走访，协同市政数局、行政服务中心党支部举办 “七一”系列主题党日活动。通过一系列党建活动，提升了党员干部的党性修养，推动党纪学习教育入脑入心，进一步强化队伍的纪律意识和团队凝聚力。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）不断深化公共资源交易体制改革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深入推动公共资源交易体制改革向纵深拓展，加速电子化进程，着力打造规范高效的公共资源交易平台。2024年共完成政府采购项目98项，建设工程交易项目51宗，土地使用权挂牌出让成交34宗，产权交易成交75宗，为我市财政收入增长作出了显著贡献，有力推动了公共资源的优化配置与高效利用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）持续做好网上中介服务超市推广应用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2024年网上中介服务超市共发布采购公告1137项，完成采购项目1130项。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）扎实推进招投标“评定分离”改革，打造阳光交易环境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全力推动招投标“评定分离”改革举措落地实施，实现 “评定分离”招投标全流程电子化操作，积极配合市住建局及招标人开展“评定分离”招标评标工作，完善项目实施所需的配套设备设施，全力保障项目开标、评标、定标等各个环节的顺利进行，为交易主体提供更为优质、便捷的服务体验。2024年，实施“评定分离”招标项目15宗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,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有效提升了招投标工作的公正性与透明度，促进了公共资源交易的健康发展。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）打破区域限制，政府采购实现数字化转型。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根据上级财政部门的要求，全市政府采购项目一律使用“广东政府采购智慧云平台电子交易系统”进行全流程电子化交易，全面实现政府采购业务“一网通办”“全线上、不见面、零跑动、降成本”的目标，兑现“让数据多跑腿、让企业少跑腿”的承诺。同时，为进一步优化“互联网+政府采购”，积极探索推行远程异地评标流程再造，努力构建“不见面开标+远程异地评标”模式，从而打破地域限制，推动优质专家资源跨区域、跨行业共享，有效减少评标专家的流动，降低市场主体制度性交易成本，提升政府采购公共服务质量，优化政府采购营商环境。2024年，我市政府采购全流程电子化招投标已完成项目98宗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）大力推广土地交易电子签章应用，提升交易效率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积极推广土地交易系统“电子签章”无纸化签署应用，实现土地交易项目摘牌当日即可签订《成交确认书》，大幅缩短交易周期，全力助推企业实现“交地即动工”的目标，为重点项目的快速落地提供高效服务保障。2024年，我市完成16宗土地交易项目应用电子签章，显著提升了土地交易的效率和便捷性，有力推动了我市经济建设的快速发展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）持续推进创文工作常态化开展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yellow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一是强化宣传引导，营造浓厚创文氛围。充分利用中心的 LED 显示屏、展板、宣传栏等多种宣传阵地，广泛刊播社会主义核心价值观及创文宣传内容，同时定期对中心的宣传环境进行全面自查，及时更新创文、反诈等宣传标识 10 余幅，有效提升了创文工作的知晓率、参与率和支持率，营造了浓厚的创文氛围。二是加强设施维护，夯实创文硬件基础。常态化开展对中心大院破损路面的修缮工作，及时修复各类公共设施，确保中心环境整洁、设施完好，为创文工作提供坚实的硬件保障，进一步提升了中心的整体形象。三是积极参与志愿服务，助力社区创文工作。每周五组织党员义工深入东安社区参与“大党委”创文活动，按照创文办的统一部署，安排中心志愿者在金海湾红绿灯路口开展常态化交通劝导志愿服务，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2024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年以来累计组织开展东安社区“大党委” 志愿服务活动45场、文明交通劝导6轮，以实际行动为我市创文工作贡献力量。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（四）部门整体支出情况（以决算数为统计口径）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本单位2024年总费用280.98万元，同比减少20.91万元，减幅6.93%。其中，业务活动费用项目280.98万元，占总费用的100.00%；经营费用项目0.00万元，占总费用的0.00%；单位管理费用项目0.00万元，占总费用的0.00%。</w:t>
      </w:r>
    </w:p>
    <w:p>
      <w:pPr>
        <w:ind w:firstLine="640" w:firstLineChars="200"/>
        <w:rPr>
          <w:rFonts w:ascii="黑体" w:hAnsi="黑体" w:eastAsia="黑体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宋体"/>
          <w:kern w:val="0"/>
          <w:sz w:val="32"/>
          <w:szCs w:val="32"/>
          <w:highlight w:val="none"/>
          <w:lang w:val="zh-CN"/>
        </w:rPr>
        <w:t>二、绩效自评情况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（一）自评结论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lang w:val="en-US" w:eastAsia="zh-CN"/>
        </w:rPr>
        <w:t>江门公共资源交易中心恩平分中心</w:t>
      </w:r>
      <w:r>
        <w:rPr>
          <w:rFonts w:hint="eastAsia" w:ascii="仿宋_GB2312" w:eastAsia="仿宋_GB2312" w:cs="宋体"/>
          <w:kern w:val="0"/>
          <w:sz w:val="32"/>
          <w:szCs w:val="32"/>
          <w:lang w:val="zh-CN"/>
        </w:rPr>
        <w:t>2024年度整体支出完成情况良好，预算编制合理、预算执行到位，资金使用效益良好，达到了预期的绩效目标，本次绩效自评分数</w:t>
      </w:r>
      <w:r>
        <w:rPr>
          <w:rFonts w:hint="eastAsia" w:ascii="仿宋_GB2312" w:eastAsia="仿宋_GB2312" w:cs="宋体"/>
          <w:kern w:val="0"/>
          <w:sz w:val="32"/>
          <w:szCs w:val="32"/>
          <w:lang w:val="en-US" w:eastAsia="zh-CN"/>
        </w:rPr>
        <w:t>92.06</w:t>
      </w:r>
      <w:r>
        <w:rPr>
          <w:rFonts w:hint="eastAsia" w:ascii="仿宋_GB2312" w:eastAsia="仿宋_GB2312" w:cs="宋体"/>
          <w:kern w:val="0"/>
          <w:sz w:val="32"/>
          <w:szCs w:val="32"/>
          <w:lang w:val="zh-CN"/>
        </w:rPr>
        <w:t>分，自评等级良好。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（二）履职效能分析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整体效能。2024年度预算编报时确定的部门整体绩效目标中产出指标、效益指标都已基本完成。2024年支出预算数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291.96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万元，支出决算数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280.98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万元，部门预算资金支出率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96.24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%。考核分值50分，自评得分为4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.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06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分。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（三）管理效率分析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1.预算编制。严格按照上级部门及市财政局有关预算编制的要求，结合单位实际情况，科学、合理、稳妥做好细化预算编制工作。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2.目标设置。2024年按照上级部门及市财政局有关文件要求，编制了绩效目标，绩效目标内容基本完整、科学合理。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3.成本管控。2024年日常公用经费支出预算数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14.38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万元，支出决算数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11.68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万元，预算执行率为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81.22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%；2024年“三公”经费支出预算数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3.61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万元，支出决算数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0.97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万元，预算执行率为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26.87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%。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4.预算执行。部门预算经批复后，及时跟踪预算执行进度，科学合理安排支出，加强对预算执行过程的控制促进预算目标的全面完成。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5.绩效管理。按要求开展预算绩效管理各环节工作，包括事前设置绩效目标、事后绩效评价等；在预算绩效管理过程中及时完成各项工作，包括绩效目标申报表、绩效自评报告等。</w:t>
      </w:r>
    </w:p>
    <w:p>
      <w:p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6.信息公开。在收到市财政局的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预算及决算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批复后，认真做好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相关数据</w:t>
      </w: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录入工作，确保部门预决算公开的完整性、及时性、规范性、准确性。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zh-CN"/>
        </w:rPr>
        <w:t>就部门整体支出绩效管理存在问题提出改进措施。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1.存在问题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一绩效管理体系需逐渐健全完善；二绩效目标设置有待提高；三资金使用绩效有待进一步提升。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2.改进措施</w:t>
      </w:r>
    </w:p>
    <w:p>
      <w:pPr>
        <w:numPr>
          <w:ilvl w:val="0"/>
          <w:numId w:val="0"/>
        </w:numPr>
        <w:ind w:firstLine="640" w:firstLineChars="200"/>
        <w:rPr>
          <w:rFonts w:hint="default" w:ascii="仿宋_GB2312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宋体"/>
          <w:kern w:val="0"/>
          <w:sz w:val="32"/>
          <w:szCs w:val="32"/>
          <w:highlight w:val="none"/>
          <w:lang w:val="en-US" w:eastAsia="zh-CN"/>
        </w:rPr>
        <w:t>一要进一步建立健全预算绩效管理制度，为预算绩效管理工作提供强有力的制度保障；二在预算编制工作中绩效目标的设置需更加合理与科学；三加强预算管理，提高资金使用绩效保障资金安全运行。</w:t>
      </w:r>
    </w:p>
    <w:p>
      <w:pPr>
        <w:numPr>
          <w:ilvl w:val="0"/>
          <w:numId w:val="2"/>
        </w:numPr>
        <w:ind w:firstLine="640" w:firstLineChars="200"/>
        <w:rPr>
          <w:rFonts w:hint="eastAsia" w:ascii="黑体" w:hAnsi="黑体" w:eastAsia="黑体" w:cs="宋体"/>
          <w:kern w:val="0"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宋体"/>
          <w:kern w:val="0"/>
          <w:sz w:val="32"/>
          <w:szCs w:val="32"/>
          <w:highlight w:val="none"/>
          <w:lang w:val="zh-CN"/>
        </w:rPr>
        <w:t>其他自评情况</w:t>
      </w:r>
    </w:p>
    <w:p>
      <w:pPr>
        <w:ind w:firstLine="640" w:firstLineChars="200"/>
        <w:rPr>
          <w:rFonts w:ascii="仿宋_GB2312" w:hAnsi="黑体" w:eastAsia="仿宋_GB2312"/>
          <w:sz w:val="32"/>
          <w:szCs w:val="32"/>
          <w:shd w:val="clear" w:color="auto" w:fill="FFFFFF" w:themeFill="background1"/>
        </w:rPr>
      </w:pPr>
      <w:r>
        <w:rPr>
          <w:rFonts w:hint="eastAsia" w:ascii="仿宋_GB2312" w:hAnsi="黑体" w:eastAsia="仿宋_GB2312" w:cs="宋体"/>
          <w:kern w:val="0"/>
          <w:sz w:val="32"/>
          <w:szCs w:val="32"/>
          <w:shd w:val="clear" w:color="auto" w:fill="FFFFFF" w:themeFill="background1"/>
          <w:lang w:val="zh-CN"/>
        </w:rPr>
        <w:t>无。</w:t>
      </w:r>
    </w:p>
    <w:p>
      <w:pPr>
        <w:numPr>
          <w:ilvl w:val="0"/>
          <w:numId w:val="2"/>
        </w:numPr>
        <w:ind w:left="0" w:leftChars="0" w:firstLine="640" w:firstLineChars="200"/>
        <w:outlineLvl w:val="1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eastAsia="zh-CN"/>
        </w:rPr>
        <w:t>上年度绩效自评或财政重点绩效评价整改情况</w:t>
      </w:r>
    </w:p>
    <w:p>
      <w:pPr>
        <w:ind w:firstLine="640" w:firstLineChars="200"/>
        <w:rPr>
          <w:rFonts w:ascii="仿宋_GB2312" w:hAnsi="黑体" w:eastAsia="仿宋_GB2312"/>
          <w:sz w:val="32"/>
          <w:szCs w:val="32"/>
          <w:shd w:val="clear" w:color="auto" w:fill="FFFFFF" w:themeFill="background1"/>
        </w:rPr>
      </w:pPr>
      <w:r>
        <w:rPr>
          <w:rFonts w:hint="eastAsia" w:ascii="仿宋_GB2312" w:hAnsi="黑体" w:eastAsia="仿宋_GB2312" w:cs="宋体"/>
          <w:kern w:val="0"/>
          <w:sz w:val="32"/>
          <w:szCs w:val="32"/>
          <w:shd w:val="clear" w:color="auto" w:fill="FFFFFF" w:themeFill="background1"/>
          <w:lang w:val="zh-CN"/>
        </w:rPr>
        <w:t>无。</w:t>
      </w:r>
    </w:p>
    <w:p>
      <w:pPr>
        <w:numPr>
          <w:ilvl w:val="0"/>
          <w:numId w:val="0"/>
        </w:numPr>
        <w:ind w:leftChars="200"/>
        <w:outlineLvl w:val="1"/>
        <w:rPr>
          <w:rFonts w:hint="default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Text Box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qzdWaABAABNAwAADgAAAGRycy9lMm9Eb2MueG1srVPbitswEH0v9B+E&#10;3hs5hpZg4ixdll0KpS3s9gMUWYoFujGjxM7fd6TE2Xb7Vvoij2ZGZ86ZGW/vZu/YSQPaGHq+XjWc&#10;6aDiYMOh5z9fHj9sOMMswyBdDLrnZ438bvf+3XZKnW7jGN2ggRFIwG5KPR9zTp0QqEbtJa5i0oGC&#10;JoKXma5wEAPIidC9E23TfBJThCFBVBqRvA+XIN9VfGO0yt+NQZ2Z6zlxy/WEeu7LKXZb2R1AptGq&#10;Kw35Dyy8tIGK3qAeZJbsCPYvKG8VRIwmr1T0Ihpjla4aSM26eaPmeZRJVy3UHEy3NuH/g1XfTj+A&#10;2aHnLWdBehrRi54zu48zWzftx9KgKWFHec+JMvNMERr04kdyFt2zAV++pIhRnFp9vrW34KnyaNNu&#10;Ng2FFMWWC+GL1+cJMD/p6Fkxeg40v9pWefqK+ZK6pJRqIT5a5+oMXfjDQZjFIwr3C8di5Xk/XwXt&#10;43AmPRONvueBdpMz9yVQZ8uWLAYsxn4xjgnsYSRq68oL0+djJhKVW6lwgb0WpplVddf9Kkvx+71m&#10;vf4Fu1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IBAAAW0NvbnRlbnRfVHlwZXNdLnhtbFBLAQIUAAoAAAAAAIdO4kAAAAAAAAAAAAAAAAAGAAAA&#10;AAAAAAAAEAAAAOoCAABfcmVscy9QSwECFAAUAAAACACHTuJAihRmPNEAAACUAQAACwAAAAAAAAAB&#10;ACAAAAAOAwAAX3JlbHMvLnJlbHNQSwECFAAKAAAAAACHTuJAAAAAAAAAAAAAAAAABAAAAAAAAAAA&#10;ABAAAAAAAAAAZHJzL1BLAQIUABQAAAAIAIdO4kDOqXm5zwAAAAUBAAAPAAAAAAAAAAEAIAAAACIA&#10;AABkcnMvZG93bnJldi54bWxQSwECFAAUAAAACACHTuJANqzdWaABAABNAwAADgAAAAAAAAABACAA&#10;AAAeAQAAZHJzL2Uyb0RvYy54bWxQSwUGAAAAAAYABgBZAQAAM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</w:p>
                        <w:p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vIYX6ABAABNAwAADgAAAGRycy9lMm9Eb2MueG1srVPBbtswDL0P2D8I&#10;ui9ycigCI06xoWhRYNgGtPsARZZiAZIoUErs/P0oxU639TbsIlMk9fgeSe/uJ+/YWWOyEDq+XjWc&#10;6aCgt+HY8Z+vj5+2nKUsQy8dBN3xi078fv/xw26Mrd7AAK7XyAgkpHaMHR9yjq0QSQ3ay7SCqAMF&#10;DaCXma54FD3KkdC9E5umuRMjYB8RlE6JvA/XIN9XfGO0yt+NSToz13HiluuJ9TyUU+x3sj2ijINV&#10;Mw35Dyy8tIGK3qAeZJbshPYdlLcKIYHJKwVegDFW6aqB1Kybv9S8DDLqqoWak+KtTen/wapv5x/I&#10;bE+z4yxITyN61VNmX2Bi62ZzVxo0xtRS3kukzDxRpCTP/kTOonsy6MuXFDGKU6svt/YWPFUebTfb&#10;bUMhRbHlQjji7XnElJ80eFaMjiPNr7ZVnr+mfE1dUkq1AI/WOfLL1oU/HIRZPKJwv3IsVp4O00z8&#10;AP2F9Iw0+o4H2k3O3HOgzpYtWQxcjMNinCLa40DU1pVXip9PmUhUbqXCFXYuTDOr6ub9Kkvx+71m&#10;vf0F+1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IBAAAW0NvbnRlbnRfVHlwZXNdLnhtbFBLAQIUAAoAAAAAAIdO4kAAAAAAAAAAAAAAAAAGAAAA&#10;AAAAAAAAEAAAAOoCAABfcmVscy9QSwECFAAUAAAACACHTuJAihRmPNEAAACUAQAACwAAAAAAAAAB&#10;ACAAAAAOAwAAX3JlbHMvLnJlbHNQSwECFAAKAAAAAACHTuJAAAAAAAAAAAAAAAAABAAAAAAAAAAA&#10;ABAAAAAAAAAAZHJzL1BLAQIUABQAAAAIAIdO4kDOqXm5zwAAAAUBAAAPAAAAAAAAAAEAIAAAACIA&#10;AABkcnMvZG93bnJldi54bWxQSwECFAAUAAAACACHTuJAyvIYX6ABAABNAwAADgAAAAAAAAABACAA&#10;AAAeAQAAZHJzL2Uyb0RvYy54bWxQSwUGAAAAAAYABgBZAQAAM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</w:p>
                  <w:p/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A146F0"/>
    <w:multiLevelType w:val="singleLevel"/>
    <w:tmpl w:val="C2A146F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54FCABB"/>
    <w:multiLevelType w:val="singleLevel"/>
    <w:tmpl w:val="254FCABB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FF10C5"/>
    <w:rsid w:val="01CA079E"/>
    <w:rsid w:val="030671D3"/>
    <w:rsid w:val="035B751F"/>
    <w:rsid w:val="03870314"/>
    <w:rsid w:val="04891E6A"/>
    <w:rsid w:val="06141C07"/>
    <w:rsid w:val="088E101C"/>
    <w:rsid w:val="0A4707FD"/>
    <w:rsid w:val="0AD96F7B"/>
    <w:rsid w:val="0AEE1042"/>
    <w:rsid w:val="0AFD2C6A"/>
    <w:rsid w:val="0C1C7B27"/>
    <w:rsid w:val="0CD520F0"/>
    <w:rsid w:val="0E72396F"/>
    <w:rsid w:val="0F6B6303"/>
    <w:rsid w:val="0F9811B3"/>
    <w:rsid w:val="0FCB3337"/>
    <w:rsid w:val="10280789"/>
    <w:rsid w:val="116B5C07"/>
    <w:rsid w:val="117F262B"/>
    <w:rsid w:val="11B81783"/>
    <w:rsid w:val="11CE7110"/>
    <w:rsid w:val="120570B6"/>
    <w:rsid w:val="129E11D6"/>
    <w:rsid w:val="14495172"/>
    <w:rsid w:val="152105EC"/>
    <w:rsid w:val="167F4E7B"/>
    <w:rsid w:val="16AF39B2"/>
    <w:rsid w:val="174D03BB"/>
    <w:rsid w:val="18D25736"/>
    <w:rsid w:val="18FE652B"/>
    <w:rsid w:val="197F0F89"/>
    <w:rsid w:val="19EA6AAF"/>
    <w:rsid w:val="1A66082C"/>
    <w:rsid w:val="1AC75042"/>
    <w:rsid w:val="1AD0039B"/>
    <w:rsid w:val="1B803B6F"/>
    <w:rsid w:val="1C1A06AB"/>
    <w:rsid w:val="1ECE699F"/>
    <w:rsid w:val="20BB11A5"/>
    <w:rsid w:val="223B7F8C"/>
    <w:rsid w:val="2322550C"/>
    <w:rsid w:val="239B0E1A"/>
    <w:rsid w:val="25C66622"/>
    <w:rsid w:val="27B506FD"/>
    <w:rsid w:val="280608AE"/>
    <w:rsid w:val="282E5418"/>
    <w:rsid w:val="28942A08"/>
    <w:rsid w:val="29B64C00"/>
    <w:rsid w:val="2A905451"/>
    <w:rsid w:val="2BBB474F"/>
    <w:rsid w:val="2C842D93"/>
    <w:rsid w:val="2DCA0C7A"/>
    <w:rsid w:val="2E162111"/>
    <w:rsid w:val="2F01691D"/>
    <w:rsid w:val="2F5A6BDB"/>
    <w:rsid w:val="31DB5204"/>
    <w:rsid w:val="324803BF"/>
    <w:rsid w:val="328400CE"/>
    <w:rsid w:val="32B37F2E"/>
    <w:rsid w:val="35327830"/>
    <w:rsid w:val="36903146"/>
    <w:rsid w:val="37A662B4"/>
    <w:rsid w:val="38140845"/>
    <w:rsid w:val="38303DCF"/>
    <w:rsid w:val="38673C95"/>
    <w:rsid w:val="39BC1DBE"/>
    <w:rsid w:val="3B44206B"/>
    <w:rsid w:val="3B914B85"/>
    <w:rsid w:val="3E7569E0"/>
    <w:rsid w:val="3EF9F5CB"/>
    <w:rsid w:val="41CE08E1"/>
    <w:rsid w:val="42813BA5"/>
    <w:rsid w:val="42C35F6C"/>
    <w:rsid w:val="42D245F1"/>
    <w:rsid w:val="42FC216C"/>
    <w:rsid w:val="44095C00"/>
    <w:rsid w:val="4472648F"/>
    <w:rsid w:val="454F3AE7"/>
    <w:rsid w:val="4BF03B4A"/>
    <w:rsid w:val="4C3752D5"/>
    <w:rsid w:val="4CB132D9"/>
    <w:rsid w:val="4D9549A9"/>
    <w:rsid w:val="4E9702AC"/>
    <w:rsid w:val="50700DB5"/>
    <w:rsid w:val="50AA076B"/>
    <w:rsid w:val="50BE4216"/>
    <w:rsid w:val="517F0D82"/>
    <w:rsid w:val="535E583D"/>
    <w:rsid w:val="536705AD"/>
    <w:rsid w:val="56F73FDE"/>
    <w:rsid w:val="5989688B"/>
    <w:rsid w:val="59E52814"/>
    <w:rsid w:val="5A33532D"/>
    <w:rsid w:val="5D1256CE"/>
    <w:rsid w:val="5DEA03F9"/>
    <w:rsid w:val="5F04373C"/>
    <w:rsid w:val="5F08322C"/>
    <w:rsid w:val="5FDE5CC3"/>
    <w:rsid w:val="61291238"/>
    <w:rsid w:val="62D42794"/>
    <w:rsid w:val="63512CC8"/>
    <w:rsid w:val="652C12F7"/>
    <w:rsid w:val="66042274"/>
    <w:rsid w:val="6764121C"/>
    <w:rsid w:val="67E97973"/>
    <w:rsid w:val="6863559F"/>
    <w:rsid w:val="691D5B26"/>
    <w:rsid w:val="6A2151A2"/>
    <w:rsid w:val="6BAD7DE1"/>
    <w:rsid w:val="6C6E6699"/>
    <w:rsid w:val="6CF22E26"/>
    <w:rsid w:val="6D3451EC"/>
    <w:rsid w:val="6D3C22F3"/>
    <w:rsid w:val="6D437B25"/>
    <w:rsid w:val="6E080427"/>
    <w:rsid w:val="6EBF142E"/>
    <w:rsid w:val="6FD5763E"/>
    <w:rsid w:val="70C1323B"/>
    <w:rsid w:val="72E2393D"/>
    <w:rsid w:val="737F118B"/>
    <w:rsid w:val="74DD616A"/>
    <w:rsid w:val="759727BC"/>
    <w:rsid w:val="76796366"/>
    <w:rsid w:val="77387FCF"/>
    <w:rsid w:val="777234E1"/>
    <w:rsid w:val="77DA1086"/>
    <w:rsid w:val="77DB12BE"/>
    <w:rsid w:val="78811502"/>
    <w:rsid w:val="793E1645"/>
    <w:rsid w:val="79532E9E"/>
    <w:rsid w:val="797B272F"/>
    <w:rsid w:val="79AB2CDA"/>
    <w:rsid w:val="7AFB37ED"/>
    <w:rsid w:val="7B2F3497"/>
    <w:rsid w:val="7B362A78"/>
    <w:rsid w:val="7BEA0B14"/>
    <w:rsid w:val="7E7F64E4"/>
    <w:rsid w:val="7E927FC5"/>
    <w:rsid w:val="7F6776A3"/>
    <w:rsid w:val="7FDF84BE"/>
    <w:rsid w:val="7FFF10C5"/>
    <w:rsid w:val="BF256713"/>
    <w:rsid w:val="BFEF66EB"/>
    <w:rsid w:val="D67746AD"/>
    <w:rsid w:val="D7D613E5"/>
    <w:rsid w:val="DF3B8BDB"/>
    <w:rsid w:val="EDD3264C"/>
    <w:rsid w:val="F3FFE12C"/>
    <w:rsid w:val="FCFF29D9"/>
    <w:rsid w:val="FFFAAC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1092</Words>
  <Characters>1148</Characters>
  <Lines>0</Lines>
  <Paragraphs>0</Paragraphs>
  <TotalTime>0</TotalTime>
  <ScaleCrop>false</ScaleCrop>
  <LinksUpToDate>false</LinksUpToDate>
  <CharactersWithSpaces>1149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2024-04-19T18:19:00Z</dcterms:created>
  <dc:creator>李晓蕾</dc:creator>
  <cp:lastModifiedBy>Administrator</cp:lastModifiedBy>
  <dcterms:modified xsi:type="dcterms:W3CDTF">2025-12-12T06:46:57Z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4C8A551F4B9D96EBF5B3EC672D490C21</vt:lpwstr>
  </property>
  <property fmtid="{D5CDD505-2E9C-101B-9397-08002B2CF9AE}" pid="3" name="KSOProductBuildVer">
    <vt:lpwstr>2052-10.1.0.6929</vt:lpwstr>
  </property>
  <property fmtid="{D5CDD505-2E9C-101B-9397-08002B2CF9AE}" pid="4" name="KSOTemplateDocerSaveRecord">
    <vt:lpwstr>eyJoZGlkIjoiMzA4N2ZkYmIyYTIwZjdjZTY5MGRjNGJiMzhhNzIwNTEiLCJ1c2VySWQiOiIxMDEyMTQ3MjQ3In0=</vt:lpwstr>
  </property>
</Properties>
</file>