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1BA37">
      <w:pPr>
        <w:snapToGrid w:val="0"/>
        <w:spacing w:line="520" w:lineRule="exact"/>
        <w:jc w:val="center"/>
        <w:rPr>
          <w:rFonts w:hint="eastAsia" w:ascii="宋体" w:hAnsi="宋体" w:eastAsia="方正小标宋简体"/>
          <w:bCs/>
          <w:kern w:val="0"/>
          <w:sz w:val="44"/>
          <w:szCs w:val="44"/>
          <w:lang w:eastAsia="zh-CN"/>
        </w:rPr>
      </w:pPr>
      <w:r>
        <w:rPr>
          <w:rFonts w:hint="eastAsia" w:ascii="宋体" w:hAnsi="宋体" w:eastAsia="方正小标宋简体"/>
          <w:bCs/>
          <w:kern w:val="0"/>
          <w:sz w:val="44"/>
          <w:szCs w:val="44"/>
        </w:rPr>
        <w:t>恩平市烟花爆竹经营（零售）</w:t>
      </w:r>
      <w:r>
        <w:rPr>
          <w:rFonts w:hint="eastAsia" w:ascii="宋体" w:hAnsi="宋体" w:eastAsia="方正小标宋简体"/>
          <w:color w:val="000000"/>
          <w:sz w:val="44"/>
          <w:szCs w:val="44"/>
        </w:rPr>
        <w:t>布点规划方案</w:t>
      </w:r>
    </w:p>
    <w:p w14:paraId="5128E959">
      <w:pPr>
        <w:pStyle w:val="10"/>
        <w:widowControl w:val="0"/>
        <w:adjustRightInd w:val="0"/>
        <w:snapToGrid w:val="0"/>
        <w:spacing w:line="60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bookmarkStart w:id="0" w:name="_GoBack"/>
      <w:r>
        <w:rPr>
          <w:rFonts w:hint="eastAsia" w:ascii="宋体" w:hAnsi="宋体" w:eastAsia="宋体" w:cs="宋体"/>
          <w:sz w:val="32"/>
          <w:szCs w:val="32"/>
          <w:lang w:val="en-US" w:eastAsia="zh-CN"/>
        </w:rPr>
        <w:t>2025</w:t>
      </w:r>
      <w:bookmarkEnd w:id="0"/>
      <w:r>
        <w:rPr>
          <w:rFonts w:hint="eastAsia" w:ascii="楷体_GB2312" w:hAnsi="楷体_GB2312" w:eastAsia="楷体_GB2312" w:cs="楷体_GB2312"/>
          <w:sz w:val="32"/>
          <w:szCs w:val="32"/>
          <w:lang w:val="en-US" w:eastAsia="zh-CN"/>
        </w:rPr>
        <w:t>年第二次修订公开征求意见稿</w:t>
      </w:r>
      <w:r>
        <w:rPr>
          <w:rFonts w:hint="eastAsia" w:ascii="楷体_GB2312" w:hAnsi="楷体_GB2312" w:eastAsia="楷体_GB2312" w:cs="楷体_GB2312"/>
          <w:sz w:val="32"/>
          <w:szCs w:val="32"/>
          <w:lang w:eastAsia="zh-CN"/>
        </w:rPr>
        <w:t>）</w:t>
      </w:r>
    </w:p>
    <w:p w14:paraId="6424CEC7">
      <w:pPr>
        <w:pStyle w:val="10"/>
        <w:widowControl w:val="0"/>
        <w:adjustRightInd w:val="0"/>
        <w:snapToGrid w:val="0"/>
        <w:spacing w:line="600" w:lineRule="exact"/>
        <w:jc w:val="both"/>
        <w:rPr>
          <w:rFonts w:hint="eastAsia" w:ascii="宋体" w:hAnsi="宋体" w:eastAsia="仿宋_GB2312" w:cs="仿宋"/>
          <w:sz w:val="32"/>
          <w:szCs w:val="32"/>
          <w:lang w:eastAsia="zh-CN"/>
        </w:rPr>
      </w:pPr>
    </w:p>
    <w:p w14:paraId="6F3BDE6F">
      <w:pPr>
        <w:spacing w:line="560" w:lineRule="exact"/>
        <w:ind w:firstLine="636" w:firstLineChars="200"/>
        <w:rPr>
          <w:rFonts w:ascii="宋体" w:hAnsi="宋体" w:eastAsia="仿宋_GB2312"/>
          <w:sz w:val="32"/>
          <w:szCs w:val="32"/>
        </w:rPr>
      </w:pPr>
      <w:r>
        <w:rPr>
          <w:rFonts w:hint="eastAsia" w:ascii="宋体" w:hAnsi="宋体" w:eastAsia="仿宋_GB2312"/>
          <w:sz w:val="32"/>
          <w:szCs w:val="32"/>
        </w:rPr>
        <w:t>为规范烟花爆竹经营（零售）单位安全条件和经营行为，切实做好烟花爆竹经营（零售）许可证颁发和管理工作，科学构建我市烟花爆竹零售经营网络，建立安全、规范、稳定、有序的烟花爆竹经营秩序，根据《烟花爆竹安全管理条例》（国务院令第455号）、《烟花爆竹经营许可实施办法》（原国家安全生产监督管理总局令第65号）、《广东省安全生产监督管理局关于烟花爆竹经营许可的实施细则》及《烟花爆竹零售店（点）安全技术规范》（AQ 4128—2019）等法律法规规定，结合我市烟花爆竹经营现状，现重新修订《恩平市烟花爆竹经营（零售）布点规划方案》。</w:t>
      </w:r>
    </w:p>
    <w:p w14:paraId="33A40EE5">
      <w:pPr>
        <w:spacing w:line="560" w:lineRule="exact"/>
        <w:ind w:firstLine="636" w:firstLineChars="200"/>
        <w:rPr>
          <w:rFonts w:ascii="宋体" w:hAnsi="宋体" w:eastAsia="黑体"/>
          <w:sz w:val="32"/>
          <w:szCs w:val="32"/>
        </w:rPr>
      </w:pPr>
      <w:r>
        <w:rPr>
          <w:rFonts w:ascii="宋体" w:hAnsi="宋体" w:eastAsia="黑体"/>
          <w:sz w:val="32"/>
          <w:szCs w:val="32"/>
        </w:rPr>
        <w:t>一、</w:t>
      </w:r>
      <w:r>
        <w:rPr>
          <w:rFonts w:hint="eastAsia" w:ascii="宋体" w:hAnsi="宋体" w:eastAsia="黑体"/>
          <w:sz w:val="32"/>
          <w:szCs w:val="32"/>
        </w:rPr>
        <w:t>布点</w:t>
      </w:r>
      <w:r>
        <w:rPr>
          <w:rFonts w:ascii="宋体" w:hAnsi="宋体" w:eastAsia="黑体"/>
          <w:sz w:val="32"/>
          <w:szCs w:val="32"/>
        </w:rPr>
        <w:t>原则</w:t>
      </w:r>
    </w:p>
    <w:p w14:paraId="5CE19A2E">
      <w:pPr>
        <w:spacing w:line="560" w:lineRule="exact"/>
        <w:ind w:firstLine="636" w:firstLineChars="200"/>
        <w:rPr>
          <w:rFonts w:ascii="宋体" w:hAnsi="宋体" w:eastAsia="仿宋_GB2312"/>
          <w:b w:val="0"/>
          <w:bCs w:val="0"/>
          <w:sz w:val="32"/>
          <w:szCs w:val="32"/>
        </w:rPr>
      </w:pPr>
      <w:r>
        <w:rPr>
          <w:rFonts w:ascii="宋体" w:hAnsi="宋体" w:eastAsia="仿宋_GB2312"/>
          <w:b w:val="0"/>
          <w:bCs w:val="0"/>
          <w:sz w:val="32"/>
          <w:szCs w:val="32"/>
        </w:rPr>
        <w:t>坚持“安全第一，预防为主，综合治理”的方针，按照“保障安全、统一规划、合理布局、总量控制、适度竞争”的原则，严格专店专柜经营，科学合理布点规划，夯实烟花爆竹零售网点安全基础性工作，构建烟花爆竹安全生产工作长效机制。</w:t>
      </w:r>
    </w:p>
    <w:p w14:paraId="37C67137">
      <w:pPr>
        <w:spacing w:line="560" w:lineRule="exact"/>
        <w:ind w:firstLine="636" w:firstLineChars="200"/>
        <w:rPr>
          <w:rFonts w:ascii="宋体" w:hAnsi="宋体" w:eastAsia="黑体"/>
          <w:b w:val="0"/>
          <w:bCs w:val="0"/>
          <w:sz w:val="32"/>
          <w:szCs w:val="32"/>
        </w:rPr>
      </w:pPr>
      <w:r>
        <w:rPr>
          <w:rFonts w:ascii="宋体" w:hAnsi="宋体" w:eastAsia="黑体"/>
          <w:b w:val="0"/>
          <w:bCs w:val="0"/>
          <w:sz w:val="32"/>
          <w:szCs w:val="32"/>
        </w:rPr>
        <w:t>二、</w:t>
      </w:r>
      <w:r>
        <w:rPr>
          <w:rFonts w:hint="eastAsia" w:ascii="宋体" w:hAnsi="宋体" w:eastAsia="黑体"/>
          <w:b w:val="0"/>
          <w:bCs w:val="0"/>
          <w:sz w:val="32"/>
          <w:szCs w:val="32"/>
        </w:rPr>
        <w:t>具体</w:t>
      </w:r>
      <w:r>
        <w:rPr>
          <w:rFonts w:ascii="宋体" w:hAnsi="宋体" w:eastAsia="黑体"/>
          <w:b w:val="0"/>
          <w:bCs w:val="0"/>
          <w:sz w:val="32"/>
          <w:szCs w:val="32"/>
        </w:rPr>
        <w:t>规划</w:t>
      </w:r>
    </w:p>
    <w:p w14:paraId="075E9CED">
      <w:pPr>
        <w:spacing w:line="560" w:lineRule="exact"/>
        <w:ind w:firstLine="636" w:firstLineChars="200"/>
        <w:rPr>
          <w:rFonts w:ascii="宋体" w:hAnsi="宋体" w:eastAsia="仿宋_GB2312"/>
          <w:b w:val="0"/>
          <w:bCs w:val="0"/>
          <w:sz w:val="32"/>
          <w:szCs w:val="32"/>
        </w:rPr>
      </w:pPr>
      <w:r>
        <w:rPr>
          <w:rFonts w:hint="eastAsia" w:ascii="宋体" w:hAnsi="宋体" w:eastAsia="仿宋_GB2312"/>
          <w:b w:val="0"/>
          <w:bCs w:val="0"/>
          <w:sz w:val="32"/>
          <w:szCs w:val="32"/>
        </w:rPr>
        <w:t>（一）布点区位。我市审批的</w:t>
      </w:r>
      <w:r>
        <w:rPr>
          <w:rFonts w:ascii="宋体" w:hAnsi="宋体" w:eastAsia="仿宋_GB2312"/>
          <w:b w:val="0"/>
          <w:bCs w:val="0"/>
          <w:sz w:val="32"/>
          <w:szCs w:val="32"/>
        </w:rPr>
        <w:t>烟花爆竹零售</w:t>
      </w:r>
      <w:r>
        <w:rPr>
          <w:rFonts w:hint="eastAsia" w:ascii="宋体" w:hAnsi="宋体" w:eastAsia="仿宋_GB2312"/>
          <w:b w:val="0"/>
          <w:bCs w:val="0"/>
          <w:sz w:val="32"/>
          <w:szCs w:val="32"/>
        </w:rPr>
        <w:t>经营</w:t>
      </w:r>
      <w:r>
        <w:rPr>
          <w:rFonts w:ascii="宋体" w:hAnsi="宋体" w:eastAsia="仿宋_GB2312"/>
          <w:b w:val="0"/>
          <w:bCs w:val="0"/>
          <w:sz w:val="32"/>
          <w:szCs w:val="32"/>
        </w:rPr>
        <w:t>点</w:t>
      </w:r>
      <w:r>
        <w:rPr>
          <w:rFonts w:hint="eastAsia" w:ascii="宋体" w:hAnsi="宋体" w:eastAsia="仿宋_GB2312"/>
          <w:b w:val="0"/>
          <w:bCs w:val="0"/>
          <w:sz w:val="32"/>
          <w:szCs w:val="32"/>
        </w:rPr>
        <w:t>应设在恩平市烟花爆竹禁销区</w:t>
      </w:r>
      <w:r>
        <w:rPr>
          <w:rFonts w:hint="eastAsia" w:ascii="宋体" w:hAnsi="宋体" w:eastAsia="仿宋_GB2312"/>
          <w:b w:val="0"/>
          <w:bCs w:val="0"/>
          <w:sz w:val="32"/>
          <w:szCs w:val="32"/>
          <w:lang w:eastAsia="zh-CN"/>
        </w:rPr>
        <w:t>（</w:t>
      </w:r>
      <w:r>
        <w:rPr>
          <w:rFonts w:hint="eastAsia" w:ascii="宋体" w:hAnsi="宋体" w:eastAsia="仿宋_GB2312"/>
          <w:b w:val="0"/>
          <w:bCs w:val="0"/>
          <w:sz w:val="32"/>
          <w:szCs w:val="32"/>
          <w:lang w:val="en-US" w:eastAsia="zh-CN"/>
        </w:rPr>
        <w:t>恩平市</w:t>
      </w:r>
      <w:r>
        <w:rPr>
          <w:rFonts w:hint="eastAsia" w:ascii="宋体" w:hAnsi="宋体" w:eastAsia="仿宋_GB2312"/>
          <w:b w:val="0"/>
          <w:bCs w:val="0"/>
          <w:sz w:val="32"/>
          <w:szCs w:val="32"/>
          <w:lang w:eastAsia="zh-CN"/>
        </w:rPr>
        <w:t>中心城区建成区）</w:t>
      </w:r>
      <w:r>
        <w:rPr>
          <w:rFonts w:hint="eastAsia" w:ascii="宋体" w:hAnsi="宋体" w:eastAsia="仿宋_GB2312"/>
          <w:b w:val="0"/>
          <w:bCs w:val="0"/>
          <w:sz w:val="32"/>
          <w:szCs w:val="32"/>
        </w:rPr>
        <w:t>外的行政区域</w:t>
      </w:r>
      <w:r>
        <w:rPr>
          <w:rFonts w:hint="eastAsia" w:ascii="宋体" w:hAnsi="宋体" w:eastAsia="仿宋_GB2312"/>
          <w:b w:val="0"/>
          <w:bCs w:val="0"/>
          <w:sz w:val="32"/>
          <w:szCs w:val="32"/>
          <w:lang w:eastAsia="zh-CN"/>
        </w:rPr>
        <w:t>。</w:t>
      </w:r>
      <w:r>
        <w:rPr>
          <w:rFonts w:hint="eastAsia" w:ascii="宋体" w:hAnsi="宋体" w:eastAsia="仿宋_GB2312"/>
          <w:b w:val="0"/>
          <w:bCs w:val="0"/>
          <w:sz w:val="32"/>
          <w:szCs w:val="32"/>
          <w:lang w:val="en-US" w:eastAsia="zh-CN"/>
        </w:rPr>
        <w:t>其中，锦江大道、发展大道外侧100米范围、恩平大道至高速公路间的空地不设置烟花爆竹零售</w:t>
      </w:r>
      <w:r>
        <w:rPr>
          <w:rFonts w:hint="eastAsia" w:ascii="宋体" w:hAnsi="宋体" w:eastAsia="仿宋_GB2312"/>
          <w:b w:val="0"/>
          <w:bCs w:val="0"/>
          <w:sz w:val="32"/>
          <w:szCs w:val="32"/>
        </w:rPr>
        <w:t>经营</w:t>
      </w:r>
      <w:r>
        <w:rPr>
          <w:rFonts w:ascii="宋体" w:hAnsi="宋体" w:eastAsia="仿宋_GB2312"/>
          <w:b w:val="0"/>
          <w:bCs w:val="0"/>
          <w:sz w:val="32"/>
          <w:szCs w:val="32"/>
        </w:rPr>
        <w:t>点</w:t>
      </w:r>
      <w:r>
        <w:rPr>
          <w:rFonts w:hint="eastAsia" w:ascii="宋体" w:hAnsi="宋体" w:eastAsia="仿宋_GB2312"/>
          <w:b w:val="0"/>
          <w:bCs w:val="0"/>
          <w:sz w:val="32"/>
          <w:szCs w:val="32"/>
        </w:rPr>
        <w:t>。</w:t>
      </w:r>
    </w:p>
    <w:p w14:paraId="3461685E">
      <w:pPr>
        <w:spacing w:line="560" w:lineRule="exact"/>
        <w:ind w:firstLine="636" w:firstLineChars="200"/>
        <w:rPr>
          <w:rFonts w:ascii="宋体" w:hAnsi="宋体" w:eastAsia="仿宋_GB2312"/>
          <w:sz w:val="32"/>
          <w:szCs w:val="32"/>
        </w:rPr>
      </w:pPr>
      <w:r>
        <w:rPr>
          <w:rFonts w:hint="eastAsia" w:ascii="宋体" w:hAnsi="宋体" w:eastAsia="仿宋_GB2312"/>
          <w:b w:val="0"/>
          <w:bCs w:val="0"/>
          <w:sz w:val="32"/>
          <w:szCs w:val="32"/>
        </w:rPr>
        <w:t>（二）设点数量。</w:t>
      </w:r>
      <w:r>
        <w:rPr>
          <w:rFonts w:ascii="宋体" w:hAnsi="宋体" w:eastAsia="仿宋_GB2312"/>
          <w:b w:val="0"/>
          <w:bCs w:val="0"/>
          <w:sz w:val="32"/>
          <w:szCs w:val="32"/>
        </w:rPr>
        <w:t>根据保障安全、总量控制、合理布局的原则，综合全市各镇（街）的人口分布</w:t>
      </w:r>
      <w:r>
        <w:rPr>
          <w:rFonts w:hint="eastAsia" w:ascii="宋体" w:hAnsi="宋体" w:eastAsia="仿宋_GB2312"/>
          <w:b w:val="0"/>
          <w:bCs w:val="0"/>
          <w:sz w:val="32"/>
          <w:szCs w:val="32"/>
          <w:lang w:eastAsia="zh-CN"/>
        </w:rPr>
        <w:t>、地理条件、交通条件</w:t>
      </w:r>
      <w:r>
        <w:rPr>
          <w:rFonts w:ascii="宋体" w:hAnsi="宋体" w:eastAsia="仿宋_GB2312"/>
          <w:b w:val="0"/>
          <w:bCs w:val="0"/>
          <w:sz w:val="32"/>
          <w:szCs w:val="32"/>
        </w:rPr>
        <w:t>、</w:t>
      </w:r>
      <w:r>
        <w:rPr>
          <w:rFonts w:ascii="宋体" w:hAnsi="宋体" w:eastAsia="仿宋_GB2312"/>
          <w:sz w:val="32"/>
          <w:szCs w:val="32"/>
        </w:rPr>
        <w:t>城区特点以及近年烟花爆竹（零售）经营许可情况等因素，确定全市烟花爆竹零售经营点总量为</w:t>
      </w:r>
      <w:r>
        <w:rPr>
          <w:rFonts w:hint="eastAsia" w:ascii="宋体" w:hAnsi="宋体" w:eastAsia="仿宋_GB2312"/>
          <w:sz w:val="32"/>
          <w:szCs w:val="32"/>
          <w:lang w:val="en-US" w:eastAsia="zh-CN"/>
        </w:rPr>
        <w:t>96</w:t>
      </w:r>
      <w:r>
        <w:rPr>
          <w:rFonts w:ascii="宋体" w:hAnsi="宋体" w:eastAsia="仿宋_GB2312"/>
          <w:sz w:val="32"/>
          <w:szCs w:val="32"/>
        </w:rPr>
        <w:t>家</w:t>
      </w:r>
      <w:r>
        <w:rPr>
          <w:rFonts w:hint="eastAsia" w:ascii="宋体" w:hAnsi="宋体" w:eastAsia="仿宋_GB2312"/>
          <w:sz w:val="32"/>
          <w:szCs w:val="32"/>
        </w:rPr>
        <w:t>（详见附件《</w:t>
      </w:r>
      <w:r>
        <w:rPr>
          <w:rFonts w:ascii="宋体" w:hAnsi="宋体" w:eastAsia="仿宋_GB2312"/>
          <w:sz w:val="32"/>
          <w:szCs w:val="32"/>
        </w:rPr>
        <w:t>恩平市烟花爆竹零售经营点总体控制数量指标</w:t>
      </w:r>
      <w:r>
        <w:rPr>
          <w:rFonts w:hint="eastAsia" w:ascii="宋体" w:hAnsi="宋体" w:eastAsia="仿宋_GB2312"/>
          <w:sz w:val="32"/>
          <w:szCs w:val="32"/>
        </w:rPr>
        <w:t>》）。</w:t>
      </w:r>
    </w:p>
    <w:p w14:paraId="390C7735">
      <w:pPr>
        <w:spacing w:line="560" w:lineRule="exact"/>
        <w:ind w:firstLine="636" w:firstLineChars="200"/>
        <w:rPr>
          <w:rFonts w:ascii="宋体" w:hAnsi="宋体" w:eastAsia="黑体"/>
          <w:sz w:val="32"/>
          <w:szCs w:val="32"/>
        </w:rPr>
      </w:pPr>
      <w:r>
        <w:rPr>
          <w:rFonts w:ascii="宋体" w:hAnsi="宋体" w:eastAsia="黑体"/>
          <w:sz w:val="32"/>
          <w:szCs w:val="32"/>
        </w:rPr>
        <w:t>三、</w:t>
      </w:r>
      <w:r>
        <w:rPr>
          <w:rFonts w:hint="eastAsia" w:ascii="宋体" w:hAnsi="宋体" w:eastAsia="黑体"/>
          <w:sz w:val="32"/>
          <w:szCs w:val="32"/>
        </w:rPr>
        <w:t>设点</w:t>
      </w:r>
      <w:r>
        <w:rPr>
          <w:rFonts w:ascii="宋体" w:hAnsi="宋体" w:eastAsia="黑体"/>
          <w:sz w:val="32"/>
          <w:szCs w:val="32"/>
        </w:rPr>
        <w:t>条件</w:t>
      </w:r>
    </w:p>
    <w:p w14:paraId="5CF311C1">
      <w:pPr>
        <w:spacing w:line="560" w:lineRule="exact"/>
        <w:ind w:firstLine="636" w:firstLineChars="200"/>
        <w:rPr>
          <w:rFonts w:ascii="宋体" w:hAnsi="宋体" w:eastAsia="仿宋_GB2312"/>
          <w:sz w:val="32"/>
          <w:szCs w:val="32"/>
        </w:rPr>
      </w:pPr>
      <w:r>
        <w:rPr>
          <w:rFonts w:ascii="宋体" w:hAnsi="宋体" w:eastAsia="仿宋_GB2312"/>
          <w:sz w:val="32"/>
          <w:szCs w:val="32"/>
        </w:rPr>
        <w:t>烟花爆竹零售</w:t>
      </w:r>
      <w:r>
        <w:rPr>
          <w:rFonts w:hint="eastAsia" w:ascii="宋体" w:hAnsi="宋体" w:eastAsia="仿宋_GB2312"/>
          <w:sz w:val="32"/>
          <w:szCs w:val="32"/>
        </w:rPr>
        <w:t>经营</w:t>
      </w:r>
      <w:r>
        <w:rPr>
          <w:rFonts w:ascii="宋体" w:hAnsi="宋体" w:eastAsia="仿宋_GB2312"/>
          <w:sz w:val="32"/>
          <w:szCs w:val="32"/>
        </w:rPr>
        <w:t>点的设点应符合以下</w:t>
      </w:r>
      <w:r>
        <w:rPr>
          <w:rFonts w:hint="eastAsia" w:ascii="宋体" w:hAnsi="宋体" w:eastAsia="仿宋_GB2312"/>
          <w:sz w:val="32"/>
          <w:szCs w:val="32"/>
        </w:rPr>
        <w:t>条件</w:t>
      </w:r>
      <w:r>
        <w:rPr>
          <w:rFonts w:ascii="宋体" w:hAnsi="宋体" w:eastAsia="仿宋_GB2312"/>
          <w:sz w:val="32"/>
          <w:szCs w:val="32"/>
        </w:rPr>
        <w:t>：</w:t>
      </w:r>
    </w:p>
    <w:p w14:paraId="31E0F1AA">
      <w:pPr>
        <w:spacing w:line="560" w:lineRule="exact"/>
        <w:ind w:firstLine="636" w:firstLineChars="200"/>
        <w:rPr>
          <w:rFonts w:ascii="宋体" w:hAnsi="宋体" w:eastAsia="仿宋_GB2312"/>
          <w:sz w:val="32"/>
          <w:szCs w:val="32"/>
        </w:rPr>
      </w:pPr>
      <w:r>
        <w:rPr>
          <w:rFonts w:ascii="宋体" w:hAnsi="宋体" w:eastAsia="仿宋_GB2312"/>
          <w:sz w:val="32"/>
          <w:szCs w:val="32"/>
        </w:rPr>
        <w:t>（</w:t>
      </w:r>
      <w:r>
        <w:rPr>
          <w:rFonts w:hint="eastAsia" w:ascii="宋体" w:hAnsi="宋体" w:eastAsia="仿宋_GB2312"/>
          <w:sz w:val="32"/>
          <w:szCs w:val="32"/>
        </w:rPr>
        <w:t>一</w:t>
      </w:r>
      <w:r>
        <w:rPr>
          <w:rFonts w:ascii="宋体" w:hAnsi="宋体" w:eastAsia="仿宋_GB2312"/>
          <w:sz w:val="32"/>
          <w:szCs w:val="32"/>
        </w:rPr>
        <w:t>）符合恩平市烟花爆竹燃放规定；</w:t>
      </w:r>
    </w:p>
    <w:p w14:paraId="02A789B1">
      <w:pPr>
        <w:spacing w:line="560" w:lineRule="exact"/>
        <w:ind w:firstLine="636" w:firstLineChars="200"/>
        <w:rPr>
          <w:rFonts w:ascii="宋体" w:hAnsi="宋体" w:eastAsia="仿宋_GB2312"/>
          <w:sz w:val="32"/>
          <w:szCs w:val="32"/>
        </w:rPr>
      </w:pPr>
      <w:r>
        <w:rPr>
          <w:rFonts w:hint="eastAsia" w:ascii="宋体" w:hAnsi="宋体" w:eastAsia="仿宋_GB2312"/>
          <w:sz w:val="32"/>
          <w:szCs w:val="32"/>
        </w:rPr>
        <w:t>（二）符合《广东省安全生产监督管理局关于烟花爆竹经营许可的实施细则》《烟花爆竹零售店（点）安全技术规范》的设点要求：</w:t>
      </w:r>
    </w:p>
    <w:p w14:paraId="27FEB6F6">
      <w:pPr>
        <w:pStyle w:val="5"/>
        <w:spacing w:before="0" w:beforeAutospacing="0" w:after="0" w:afterAutospacing="0" w:line="560" w:lineRule="exact"/>
        <w:ind w:firstLine="636" w:firstLineChars="200"/>
        <w:jc w:val="both"/>
        <w:rPr>
          <w:rFonts w:eastAsia="仿宋_GB2312" w:cs="Times New Roman"/>
          <w:kern w:val="2"/>
          <w:sz w:val="32"/>
          <w:szCs w:val="32"/>
        </w:rPr>
      </w:pPr>
      <w:r>
        <w:rPr>
          <w:rFonts w:hint="eastAsia" w:eastAsia="仿宋_GB2312" w:cs="Times New Roman"/>
          <w:kern w:val="2"/>
          <w:sz w:val="32"/>
          <w:szCs w:val="32"/>
        </w:rPr>
        <w:t>1.具备零售经营许可证颁发规定的安全生产条件；</w:t>
      </w:r>
    </w:p>
    <w:p w14:paraId="70DC1F9E">
      <w:pPr>
        <w:pStyle w:val="5"/>
        <w:spacing w:before="0" w:beforeAutospacing="0" w:after="0" w:afterAutospacing="0" w:line="560" w:lineRule="exact"/>
        <w:jc w:val="both"/>
        <w:rPr>
          <w:rFonts w:eastAsia="仿宋_GB2312" w:cs="Times New Roman"/>
          <w:kern w:val="2"/>
          <w:sz w:val="32"/>
          <w:szCs w:val="32"/>
        </w:rPr>
      </w:pPr>
      <w:r>
        <w:rPr>
          <w:rFonts w:hint="eastAsia" w:eastAsia="仿宋_GB2312" w:cs="Times New Roman"/>
          <w:kern w:val="2"/>
          <w:sz w:val="32"/>
          <w:szCs w:val="32"/>
        </w:rPr>
        <w:t>　　</w:t>
      </w:r>
      <w:r>
        <w:rPr>
          <w:rFonts w:hint="eastAsia" w:eastAsia="仿宋_GB2312" w:cs="Times New Roman"/>
          <w:kern w:val="2"/>
          <w:sz w:val="32"/>
          <w:szCs w:val="32"/>
          <w:lang w:val="en-US" w:eastAsia="zh-CN"/>
        </w:rPr>
        <w:t>2</w:t>
      </w:r>
      <w:r>
        <w:rPr>
          <w:rFonts w:hint="eastAsia" w:eastAsia="仿宋_GB2312" w:cs="Times New Roman"/>
          <w:kern w:val="2"/>
          <w:sz w:val="32"/>
          <w:szCs w:val="32"/>
        </w:rPr>
        <w:t>.原则上每1000户人口的区域内布设零售点不超过2个，相邻零售点之间的距离不小于50米，但采用临时建筑物及两个零售店（点）之间门、窗等洞口直接相对时，距离应不小于80米；</w:t>
      </w:r>
    </w:p>
    <w:p w14:paraId="7673F2DE">
      <w:pPr>
        <w:pStyle w:val="5"/>
        <w:spacing w:before="0" w:beforeAutospacing="0" w:after="0" w:afterAutospacing="0" w:line="560" w:lineRule="exact"/>
        <w:jc w:val="both"/>
        <w:rPr>
          <w:rFonts w:hint="eastAsia" w:eastAsia="仿宋_GB2312" w:cs="Times New Roman"/>
          <w:kern w:val="2"/>
          <w:sz w:val="32"/>
          <w:szCs w:val="32"/>
        </w:rPr>
      </w:pPr>
      <w:r>
        <w:rPr>
          <w:rFonts w:hint="eastAsia" w:eastAsia="仿宋_GB2312" w:cs="Times New Roman"/>
          <w:kern w:val="2"/>
          <w:sz w:val="32"/>
          <w:szCs w:val="32"/>
        </w:rPr>
        <w:t>　　3.不得设置在军事管理区、文物保护区等烟花爆竹禁放区范围内；不得设置在居民集中居住小区内、桥下及涵洞内、地下及半地下室内，不得设置在其地下、室内或上方有输送石油、天然气等易燃易爆物质管道的建筑物内，不得设置在电压高于1kV的电力线路下方；</w:t>
      </w:r>
    </w:p>
    <w:p w14:paraId="5F0FA81A">
      <w:pPr>
        <w:pStyle w:val="5"/>
        <w:spacing w:before="0" w:beforeAutospacing="0" w:after="0" w:afterAutospacing="0" w:line="560" w:lineRule="exact"/>
        <w:ind w:firstLine="636" w:firstLineChars="200"/>
        <w:jc w:val="both"/>
        <w:rPr>
          <w:rFonts w:eastAsia="仿宋_GB2312" w:cs="Times New Roman"/>
          <w:kern w:val="2"/>
          <w:sz w:val="32"/>
          <w:szCs w:val="32"/>
        </w:rPr>
      </w:pPr>
      <w:r>
        <w:rPr>
          <w:rFonts w:hint="eastAsia" w:eastAsia="仿宋_GB2312" w:cs="Times New Roman"/>
          <w:kern w:val="2"/>
          <w:sz w:val="32"/>
          <w:szCs w:val="32"/>
        </w:rPr>
        <w:t>4.应选择在消防车辆可以顺畅到达的区域，不得与居民居住场所设置在同一建筑物内，并与学校、医院、幼儿园、养老院、集贸市场、文物古迹、博物馆、展览馆、档案馆、图书馆等人员密集场所、重点建筑物，危险品生产、储存及加油站、加气站等易燃易爆场所边缘距离，消防站、交通枢纽等其他重要设施的距离不少于100米；与220kV及以上的区域变电站围墙和220kV以上的架空输电线路距离不少于50米；</w:t>
      </w:r>
    </w:p>
    <w:p w14:paraId="5AA43D2C">
      <w:pPr>
        <w:pStyle w:val="5"/>
        <w:spacing w:before="0" w:beforeAutospacing="0" w:after="0" w:afterAutospacing="0" w:line="560" w:lineRule="exact"/>
        <w:jc w:val="both"/>
        <w:rPr>
          <w:rFonts w:eastAsia="仿宋_GB2312" w:cs="Times New Roman"/>
          <w:kern w:val="2"/>
          <w:sz w:val="32"/>
          <w:szCs w:val="32"/>
        </w:rPr>
      </w:pPr>
      <w:r>
        <w:rPr>
          <w:rFonts w:hint="eastAsia" w:eastAsia="仿宋_GB2312" w:cs="Times New Roman"/>
          <w:kern w:val="2"/>
          <w:sz w:val="32"/>
          <w:szCs w:val="32"/>
        </w:rPr>
        <w:t>　　</w:t>
      </w:r>
      <w:r>
        <w:rPr>
          <w:rFonts w:hint="eastAsia" w:eastAsia="仿宋_GB2312" w:cs="Times New Roman"/>
          <w:kern w:val="2"/>
          <w:sz w:val="32"/>
          <w:szCs w:val="32"/>
          <w:lang w:val="en-US" w:eastAsia="zh-CN"/>
        </w:rPr>
        <w:t>5</w:t>
      </w:r>
      <w:r>
        <w:rPr>
          <w:rFonts w:hint="eastAsia" w:eastAsia="仿宋_GB2312" w:cs="Times New Roman"/>
          <w:kern w:val="2"/>
          <w:sz w:val="32"/>
          <w:szCs w:val="32"/>
        </w:rPr>
        <w:t>.严禁在城乡结合部或集贸市场布设连片集中形式的烟花爆竹零售经营场</w:t>
      </w:r>
      <w:r>
        <w:rPr>
          <w:rFonts w:hint="eastAsia" w:eastAsia="仿宋_GB2312" w:cs="Times New Roman"/>
          <w:b w:val="0"/>
          <w:bCs w:val="0"/>
          <w:kern w:val="2"/>
          <w:sz w:val="32"/>
          <w:szCs w:val="32"/>
        </w:rPr>
        <w:t>所</w:t>
      </w:r>
      <w:r>
        <w:rPr>
          <w:rFonts w:hint="eastAsia" w:eastAsia="仿宋_GB2312" w:cs="Times New Roman"/>
          <w:b w:val="0"/>
          <w:bCs w:val="0"/>
          <w:kern w:val="2"/>
          <w:sz w:val="32"/>
          <w:szCs w:val="32"/>
          <w:lang w:eastAsia="zh-CN"/>
        </w:rPr>
        <w:t>，</w:t>
      </w:r>
      <w:r>
        <w:rPr>
          <w:rFonts w:hint="eastAsia" w:eastAsia="仿宋_GB2312" w:cs="Times New Roman"/>
          <w:b w:val="0"/>
          <w:bCs w:val="0"/>
          <w:kern w:val="2"/>
          <w:sz w:val="32"/>
          <w:szCs w:val="32"/>
          <w:lang w:val="en-US" w:eastAsia="zh-CN"/>
        </w:rPr>
        <w:t>400米范围内布设零售点不超过2个</w:t>
      </w:r>
      <w:r>
        <w:rPr>
          <w:rFonts w:hint="eastAsia" w:eastAsia="仿宋_GB2312" w:cs="Times New Roman"/>
          <w:b w:val="0"/>
          <w:bCs w:val="0"/>
          <w:kern w:val="2"/>
          <w:sz w:val="32"/>
          <w:szCs w:val="32"/>
        </w:rPr>
        <w:t>。</w:t>
      </w:r>
    </w:p>
    <w:p w14:paraId="74A29EC2">
      <w:pPr>
        <w:spacing w:line="560" w:lineRule="exact"/>
        <w:ind w:firstLine="636" w:firstLineChars="200"/>
        <w:rPr>
          <w:rFonts w:hint="eastAsia" w:ascii="宋体" w:hAnsi="宋体" w:eastAsia="仿宋_GB2312"/>
          <w:sz w:val="32"/>
          <w:szCs w:val="32"/>
          <w:lang w:eastAsia="zh-CN"/>
        </w:rPr>
      </w:pPr>
      <w:r>
        <w:rPr>
          <w:rFonts w:hint="eastAsia" w:ascii="宋体" w:hAnsi="宋体" w:eastAsia="仿宋_GB2312"/>
          <w:sz w:val="32"/>
          <w:szCs w:val="32"/>
        </w:rPr>
        <w:t>（三）采用拼接式板房、产品存储仓等临时建筑物的，零售许可证有效期最长不超过1年。临时建筑物为板式结构时，宜采用板厚不小于50mm的彩钢岩棉夹芯板作墙面和屋面；临时建筑物为搭棚形式时，搭建材料应为不燃或难燃材料，棚的两侧及后侧应密实围护</w:t>
      </w:r>
      <w:r>
        <w:rPr>
          <w:rFonts w:hint="eastAsia" w:ascii="宋体" w:hAnsi="宋体" w:eastAsia="仿宋_GB2312"/>
          <w:sz w:val="32"/>
          <w:szCs w:val="32"/>
          <w:lang w:eastAsia="zh-CN"/>
        </w:rPr>
        <w:t>。</w:t>
      </w:r>
    </w:p>
    <w:p w14:paraId="2B44AEC0">
      <w:pPr>
        <w:spacing w:line="560" w:lineRule="exact"/>
        <w:ind w:firstLine="636" w:firstLineChars="200"/>
        <w:rPr>
          <w:rFonts w:ascii="宋体" w:hAnsi="宋体" w:eastAsia="黑体"/>
          <w:sz w:val="32"/>
          <w:szCs w:val="32"/>
        </w:rPr>
      </w:pPr>
      <w:r>
        <w:rPr>
          <w:rFonts w:ascii="宋体" w:hAnsi="宋体" w:eastAsia="黑体"/>
          <w:sz w:val="32"/>
          <w:szCs w:val="32"/>
        </w:rPr>
        <w:t>四、</w:t>
      </w:r>
      <w:r>
        <w:rPr>
          <w:rFonts w:hint="eastAsia" w:ascii="宋体" w:hAnsi="宋体" w:eastAsia="黑体"/>
          <w:sz w:val="32"/>
          <w:szCs w:val="32"/>
        </w:rPr>
        <w:t>其他要求</w:t>
      </w:r>
    </w:p>
    <w:p w14:paraId="2DE8544C">
      <w:pPr>
        <w:spacing w:line="560" w:lineRule="exact"/>
        <w:ind w:firstLine="636" w:firstLineChars="200"/>
        <w:rPr>
          <w:rFonts w:ascii="宋体" w:hAnsi="宋体" w:eastAsia="仿宋_GB2312"/>
          <w:sz w:val="32"/>
          <w:szCs w:val="32"/>
        </w:rPr>
      </w:pPr>
      <w:r>
        <w:rPr>
          <w:rFonts w:hint="eastAsia" w:ascii="宋体" w:hAnsi="宋体" w:eastAsia="仿宋_GB2312"/>
          <w:sz w:val="32"/>
          <w:szCs w:val="32"/>
        </w:rPr>
        <w:t>（一）</w:t>
      </w:r>
      <w:r>
        <w:rPr>
          <w:rFonts w:ascii="宋体" w:hAnsi="宋体" w:eastAsia="仿宋_GB2312"/>
          <w:sz w:val="32"/>
          <w:szCs w:val="32"/>
        </w:rPr>
        <w:t>从事烟花爆竹零售的经营者应当</w:t>
      </w:r>
      <w:r>
        <w:rPr>
          <w:rFonts w:hint="eastAsia" w:ascii="宋体" w:hAnsi="宋体" w:eastAsia="仿宋_GB2312"/>
          <w:sz w:val="32"/>
          <w:szCs w:val="32"/>
        </w:rPr>
        <w:t>依法</w:t>
      </w:r>
      <w:r>
        <w:rPr>
          <w:rFonts w:ascii="宋体" w:hAnsi="宋体" w:eastAsia="仿宋_GB2312"/>
          <w:sz w:val="32"/>
          <w:szCs w:val="32"/>
        </w:rPr>
        <w:t>取得《烟花爆竹经营（零售）许可证》。未取得《烟花爆竹经营（零售）许可证》的，任何单位或者个人不得从事烟花爆竹零售活动。</w:t>
      </w:r>
    </w:p>
    <w:p w14:paraId="58E3E003">
      <w:pPr>
        <w:spacing w:line="560" w:lineRule="exact"/>
        <w:ind w:firstLine="636" w:firstLineChars="200"/>
        <w:rPr>
          <w:rFonts w:ascii="宋体" w:hAnsi="宋体" w:eastAsia="仿宋_GB2312"/>
          <w:sz w:val="32"/>
          <w:szCs w:val="32"/>
        </w:rPr>
      </w:pPr>
      <w:r>
        <w:rPr>
          <w:rFonts w:hint="eastAsia" w:ascii="宋体" w:hAnsi="宋体" w:eastAsia="仿宋_GB2312"/>
          <w:sz w:val="32"/>
          <w:szCs w:val="32"/>
        </w:rPr>
        <w:t>（二）</w:t>
      </w:r>
      <w:r>
        <w:rPr>
          <w:rFonts w:ascii="宋体" w:hAnsi="宋体" w:eastAsia="仿宋_GB2312"/>
          <w:sz w:val="32"/>
          <w:szCs w:val="32"/>
        </w:rPr>
        <w:t>市</w:t>
      </w:r>
      <w:r>
        <w:rPr>
          <w:rFonts w:hint="eastAsia" w:ascii="宋体" w:hAnsi="宋体" w:eastAsia="仿宋_GB2312"/>
          <w:sz w:val="32"/>
          <w:szCs w:val="32"/>
        </w:rPr>
        <w:t>应急管理</w:t>
      </w:r>
      <w:r>
        <w:rPr>
          <w:rFonts w:ascii="宋体" w:hAnsi="宋体" w:eastAsia="仿宋_GB2312"/>
          <w:sz w:val="32"/>
          <w:szCs w:val="32"/>
        </w:rPr>
        <w:t>局根据各镇（街）总体控制数量指标，按照相关法规和文件的要求，以</w:t>
      </w:r>
      <w:r>
        <w:rPr>
          <w:rFonts w:hint="eastAsia" w:ascii="宋体" w:hAnsi="宋体" w:eastAsia="仿宋_GB2312"/>
          <w:sz w:val="32"/>
          <w:szCs w:val="32"/>
        </w:rPr>
        <w:t>受理</w:t>
      </w:r>
      <w:r>
        <w:rPr>
          <w:rFonts w:ascii="宋体" w:hAnsi="宋体" w:eastAsia="仿宋_GB2312"/>
          <w:sz w:val="32"/>
          <w:szCs w:val="32"/>
        </w:rPr>
        <w:t>申请</w:t>
      </w:r>
      <w:r>
        <w:rPr>
          <w:rFonts w:hint="eastAsia" w:ascii="宋体" w:hAnsi="宋体" w:eastAsia="仿宋_GB2312"/>
          <w:sz w:val="32"/>
          <w:szCs w:val="32"/>
        </w:rPr>
        <w:t>的</w:t>
      </w:r>
      <w:r>
        <w:rPr>
          <w:rFonts w:ascii="宋体" w:hAnsi="宋体" w:eastAsia="仿宋_GB2312"/>
          <w:sz w:val="32"/>
          <w:szCs w:val="32"/>
        </w:rPr>
        <w:t>先后</w:t>
      </w:r>
      <w:r>
        <w:rPr>
          <w:rFonts w:hint="eastAsia" w:ascii="宋体" w:hAnsi="宋体" w:eastAsia="仿宋_GB2312"/>
          <w:sz w:val="32"/>
          <w:szCs w:val="32"/>
        </w:rPr>
        <w:t>顺序作出是否准予行政许可的</w:t>
      </w:r>
      <w:r>
        <w:rPr>
          <w:rFonts w:ascii="宋体" w:hAnsi="宋体" w:eastAsia="仿宋_GB2312"/>
          <w:sz w:val="32"/>
          <w:szCs w:val="32"/>
        </w:rPr>
        <w:t>决定，已达到规定数量限额的，将不再受理申请。</w:t>
      </w:r>
    </w:p>
    <w:p w14:paraId="431EF9DE">
      <w:pPr>
        <w:spacing w:line="560" w:lineRule="exact"/>
        <w:ind w:firstLine="636" w:firstLineChars="200"/>
        <w:rPr>
          <w:rFonts w:hint="eastAsia" w:ascii="宋体" w:hAnsi="宋体" w:eastAsia="仿宋_GB2312"/>
          <w:b w:val="0"/>
          <w:bCs w:val="0"/>
          <w:sz w:val="32"/>
          <w:szCs w:val="32"/>
          <w:lang w:eastAsia="zh-CN"/>
        </w:rPr>
      </w:pPr>
      <w:r>
        <w:rPr>
          <w:rFonts w:hint="eastAsia" w:ascii="宋体" w:hAnsi="宋体" w:eastAsia="仿宋_GB2312"/>
          <w:b w:val="0"/>
          <w:bCs w:val="0"/>
          <w:sz w:val="32"/>
          <w:szCs w:val="32"/>
        </w:rPr>
        <w:t>（三）</w:t>
      </w:r>
      <w:r>
        <w:rPr>
          <w:rFonts w:hint="eastAsia" w:ascii="宋体" w:hAnsi="宋体" w:eastAsia="仿宋_GB2312"/>
          <w:b w:val="0"/>
          <w:bCs w:val="0"/>
          <w:sz w:val="32"/>
          <w:szCs w:val="32"/>
          <w:lang w:val="en-US" w:eastAsia="zh-CN"/>
        </w:rPr>
        <w:t>存在以下情形的，</w:t>
      </w:r>
      <w:r>
        <w:rPr>
          <w:rFonts w:ascii="宋体" w:hAnsi="宋体" w:eastAsia="仿宋_GB2312"/>
          <w:b w:val="0"/>
          <w:bCs w:val="0"/>
          <w:sz w:val="32"/>
          <w:szCs w:val="32"/>
        </w:rPr>
        <w:t>市</w:t>
      </w:r>
      <w:r>
        <w:rPr>
          <w:rFonts w:hint="eastAsia" w:ascii="宋体" w:hAnsi="宋体" w:eastAsia="仿宋_GB2312"/>
          <w:b w:val="0"/>
          <w:bCs w:val="0"/>
          <w:sz w:val="32"/>
          <w:szCs w:val="32"/>
        </w:rPr>
        <w:t>应急管理</w:t>
      </w:r>
      <w:r>
        <w:rPr>
          <w:rFonts w:ascii="宋体" w:hAnsi="宋体" w:eastAsia="仿宋_GB2312"/>
          <w:b w:val="0"/>
          <w:bCs w:val="0"/>
          <w:sz w:val="32"/>
          <w:szCs w:val="32"/>
        </w:rPr>
        <w:t>局</w:t>
      </w:r>
      <w:r>
        <w:rPr>
          <w:rFonts w:hint="eastAsia" w:ascii="宋体" w:hAnsi="宋体" w:eastAsia="仿宋_GB2312"/>
          <w:b w:val="0"/>
          <w:bCs w:val="0"/>
          <w:sz w:val="32"/>
          <w:szCs w:val="32"/>
        </w:rPr>
        <w:t>不予受理，申请人</w:t>
      </w:r>
      <w:r>
        <w:rPr>
          <w:rFonts w:hint="eastAsia" w:ascii="宋体" w:hAnsi="宋体" w:eastAsia="仿宋_GB2312"/>
          <w:b w:val="0"/>
          <w:bCs w:val="0"/>
          <w:sz w:val="32"/>
          <w:szCs w:val="32"/>
          <w:lang w:val="en-US" w:eastAsia="zh-CN"/>
        </w:rPr>
        <w:t>在</w:t>
      </w:r>
      <w:r>
        <w:rPr>
          <w:rFonts w:hint="eastAsia" w:ascii="宋体" w:hAnsi="宋体" w:eastAsia="仿宋_GB2312"/>
          <w:b w:val="0"/>
          <w:bCs w:val="0"/>
          <w:sz w:val="32"/>
          <w:szCs w:val="32"/>
        </w:rPr>
        <w:t>1年内不得提出烟花爆竹经营许可申请</w:t>
      </w:r>
      <w:r>
        <w:rPr>
          <w:rFonts w:hint="eastAsia" w:ascii="宋体" w:hAnsi="宋体" w:eastAsia="仿宋_GB2312"/>
          <w:b w:val="0"/>
          <w:bCs w:val="0"/>
          <w:sz w:val="32"/>
          <w:szCs w:val="32"/>
          <w:lang w:eastAsia="zh-CN"/>
        </w:rPr>
        <w:t>：</w:t>
      </w:r>
    </w:p>
    <w:p w14:paraId="40F514FC">
      <w:pPr>
        <w:spacing w:line="560" w:lineRule="exact"/>
        <w:ind w:firstLine="636" w:firstLineChars="200"/>
        <w:rPr>
          <w:rFonts w:hint="eastAsia" w:ascii="宋体" w:hAnsi="宋体" w:eastAsia="仿宋_GB2312"/>
          <w:b w:val="0"/>
          <w:bCs w:val="0"/>
          <w:sz w:val="32"/>
          <w:szCs w:val="32"/>
          <w:lang w:eastAsia="zh-CN"/>
        </w:rPr>
      </w:pPr>
      <w:r>
        <w:rPr>
          <w:rFonts w:hint="eastAsia" w:ascii="宋体" w:hAnsi="宋体" w:eastAsia="仿宋_GB2312"/>
          <w:b w:val="0"/>
          <w:bCs w:val="0"/>
          <w:sz w:val="32"/>
          <w:szCs w:val="32"/>
          <w:lang w:val="en-US" w:eastAsia="zh-CN"/>
        </w:rPr>
        <w:t>1.</w:t>
      </w:r>
      <w:r>
        <w:rPr>
          <w:rFonts w:hint="eastAsia" w:ascii="宋体" w:hAnsi="宋体" w:eastAsia="仿宋_GB2312"/>
          <w:b w:val="0"/>
          <w:bCs w:val="0"/>
          <w:sz w:val="32"/>
          <w:szCs w:val="32"/>
        </w:rPr>
        <w:t>申请人隐瞒有关情况或者提供虚假材料申请烟花爆竹经营许可证的</w:t>
      </w:r>
      <w:r>
        <w:rPr>
          <w:rFonts w:hint="eastAsia" w:ascii="宋体" w:hAnsi="宋体" w:eastAsia="仿宋_GB2312"/>
          <w:b w:val="0"/>
          <w:bCs w:val="0"/>
          <w:sz w:val="32"/>
          <w:szCs w:val="32"/>
          <w:lang w:eastAsia="zh-CN"/>
        </w:rPr>
        <w:t>；</w:t>
      </w:r>
    </w:p>
    <w:p w14:paraId="718022C8">
      <w:pPr>
        <w:spacing w:line="560" w:lineRule="exact"/>
        <w:ind w:firstLine="636" w:firstLineChars="200"/>
        <w:rPr>
          <w:rFonts w:hint="eastAsia" w:ascii="宋体" w:hAnsi="宋体" w:eastAsia="仿宋_GB2312"/>
          <w:b w:val="0"/>
          <w:bCs w:val="0"/>
          <w:sz w:val="32"/>
          <w:szCs w:val="32"/>
          <w:lang w:eastAsia="zh-CN"/>
        </w:rPr>
      </w:pPr>
      <w:r>
        <w:rPr>
          <w:rFonts w:hint="eastAsia" w:ascii="宋体" w:hAnsi="宋体" w:eastAsia="仿宋_GB2312"/>
          <w:b w:val="0"/>
          <w:bCs w:val="0"/>
          <w:sz w:val="32"/>
          <w:szCs w:val="32"/>
          <w:lang w:val="en-US" w:eastAsia="zh-CN"/>
        </w:rPr>
        <w:t>2.</w:t>
      </w:r>
      <w:r>
        <w:rPr>
          <w:rFonts w:hint="eastAsia" w:ascii="宋体" w:hAnsi="宋体" w:eastAsia="仿宋_GB2312"/>
          <w:b w:val="0"/>
          <w:bCs w:val="0"/>
          <w:sz w:val="32"/>
          <w:szCs w:val="32"/>
        </w:rPr>
        <w:t>申请人</w:t>
      </w:r>
      <w:r>
        <w:rPr>
          <w:rFonts w:hint="eastAsia" w:ascii="宋体" w:hAnsi="宋体" w:eastAsia="仿宋_GB2312"/>
          <w:b w:val="0"/>
          <w:bCs w:val="0"/>
          <w:sz w:val="32"/>
          <w:szCs w:val="32"/>
          <w:lang w:val="en-US" w:eastAsia="zh-CN"/>
        </w:rPr>
        <w:t>在一年内被查处存在异地销售、超量储存、销售非法生产经营的烟花爆竹行为的</w:t>
      </w:r>
      <w:r>
        <w:rPr>
          <w:rFonts w:hint="eastAsia" w:ascii="宋体" w:hAnsi="宋体" w:eastAsia="仿宋_GB2312"/>
          <w:b w:val="0"/>
          <w:bCs w:val="0"/>
          <w:sz w:val="32"/>
          <w:szCs w:val="32"/>
          <w:lang w:eastAsia="zh-CN"/>
        </w:rPr>
        <w:t>。</w:t>
      </w:r>
    </w:p>
    <w:p w14:paraId="6EC2D85C">
      <w:pPr>
        <w:spacing w:line="560" w:lineRule="exact"/>
        <w:ind w:firstLine="636" w:firstLineChars="200"/>
        <w:rPr>
          <w:rFonts w:hint="eastAsia" w:ascii="宋体" w:hAnsi="宋体" w:eastAsia="仿宋_GB2312"/>
          <w:b w:val="0"/>
          <w:bCs w:val="0"/>
          <w:sz w:val="32"/>
          <w:szCs w:val="32"/>
          <w:lang w:eastAsia="zh-CN"/>
        </w:rPr>
      </w:pPr>
      <w:r>
        <w:rPr>
          <w:rFonts w:hint="eastAsia" w:ascii="宋体" w:hAnsi="宋体" w:eastAsia="仿宋_GB2312"/>
          <w:b w:val="0"/>
          <w:bCs w:val="0"/>
          <w:sz w:val="32"/>
          <w:szCs w:val="32"/>
          <w:lang w:eastAsia="zh-CN"/>
        </w:rPr>
        <w:t>（</w:t>
      </w:r>
      <w:r>
        <w:rPr>
          <w:rFonts w:hint="eastAsia" w:ascii="宋体" w:hAnsi="宋体" w:eastAsia="仿宋_GB2312"/>
          <w:b w:val="0"/>
          <w:bCs w:val="0"/>
          <w:sz w:val="32"/>
          <w:szCs w:val="32"/>
          <w:lang w:val="en-US" w:eastAsia="zh-CN"/>
        </w:rPr>
        <w:t>四</w:t>
      </w:r>
      <w:r>
        <w:rPr>
          <w:rFonts w:hint="eastAsia" w:ascii="宋体" w:hAnsi="宋体" w:eastAsia="仿宋_GB2312"/>
          <w:b w:val="0"/>
          <w:bCs w:val="0"/>
          <w:sz w:val="32"/>
          <w:szCs w:val="32"/>
          <w:lang w:eastAsia="zh-CN"/>
        </w:rPr>
        <w:t>）以欺骗、贿赂等不正当手段取得烟花爆竹经营许可证的，市应急管理局予以撤销，该经营单位3年内不得再次提出烟花爆竹经营许可申请。</w:t>
      </w:r>
    </w:p>
    <w:p w14:paraId="12833311">
      <w:pPr>
        <w:spacing w:line="560" w:lineRule="exact"/>
        <w:ind w:firstLine="636" w:firstLineChars="200"/>
        <w:rPr>
          <w:rFonts w:ascii="宋体" w:hAnsi="宋体" w:eastAsia="仿宋_GB2312"/>
          <w:sz w:val="32"/>
          <w:szCs w:val="32"/>
        </w:rPr>
      </w:pPr>
      <w:r>
        <w:rPr>
          <w:rFonts w:hint="eastAsia" w:ascii="宋体" w:hAnsi="宋体" w:eastAsia="仿宋_GB2312"/>
          <w:sz w:val="32"/>
          <w:szCs w:val="32"/>
          <w:lang w:eastAsia="zh-CN"/>
        </w:rPr>
        <w:t>（</w:t>
      </w:r>
      <w:r>
        <w:rPr>
          <w:rFonts w:hint="eastAsia" w:ascii="宋体" w:hAnsi="宋体" w:eastAsia="仿宋_GB2312"/>
          <w:sz w:val="32"/>
          <w:szCs w:val="32"/>
          <w:lang w:val="en-US" w:eastAsia="zh-CN"/>
        </w:rPr>
        <w:t>五</w:t>
      </w:r>
      <w:r>
        <w:rPr>
          <w:rFonts w:hint="eastAsia" w:ascii="宋体" w:hAnsi="宋体" w:eastAsia="仿宋_GB2312"/>
          <w:sz w:val="32"/>
          <w:szCs w:val="32"/>
          <w:lang w:eastAsia="zh-CN"/>
        </w:rPr>
        <w:t>）</w:t>
      </w:r>
      <w:r>
        <w:rPr>
          <w:rFonts w:ascii="宋体" w:hAnsi="宋体" w:eastAsia="仿宋_GB2312"/>
          <w:sz w:val="32"/>
          <w:szCs w:val="32"/>
        </w:rPr>
        <w:t>取得烟花爆竹经营许可证的单位依法终止烟花爆竹经营活动的，应当向市</w:t>
      </w:r>
      <w:r>
        <w:rPr>
          <w:rFonts w:hint="eastAsia" w:ascii="宋体" w:hAnsi="宋体" w:eastAsia="仿宋_GB2312"/>
          <w:sz w:val="32"/>
          <w:szCs w:val="32"/>
        </w:rPr>
        <w:t>应急管理</w:t>
      </w:r>
      <w:r>
        <w:rPr>
          <w:rFonts w:ascii="宋体" w:hAnsi="宋体" w:eastAsia="仿宋_GB2312"/>
          <w:sz w:val="32"/>
          <w:szCs w:val="32"/>
        </w:rPr>
        <w:t>局申请注销其经营许可证。</w:t>
      </w:r>
    </w:p>
    <w:p w14:paraId="5B4F7C2D">
      <w:pPr>
        <w:spacing w:line="560" w:lineRule="exact"/>
        <w:ind w:firstLine="636" w:firstLineChars="200"/>
        <w:rPr>
          <w:rFonts w:ascii="宋体" w:hAnsi="宋体" w:eastAsia="仿宋_GB2312"/>
          <w:sz w:val="32"/>
          <w:szCs w:val="32"/>
        </w:rPr>
      </w:pPr>
      <w:r>
        <w:rPr>
          <w:rFonts w:hint="eastAsia" w:ascii="宋体" w:hAnsi="宋体" w:eastAsia="仿宋_GB2312"/>
          <w:sz w:val="32"/>
          <w:szCs w:val="32"/>
        </w:rPr>
        <w:t>（</w:t>
      </w:r>
      <w:r>
        <w:rPr>
          <w:rFonts w:hint="eastAsia" w:ascii="宋体" w:hAnsi="宋体" w:eastAsia="仿宋_GB2312"/>
          <w:sz w:val="32"/>
          <w:szCs w:val="32"/>
          <w:lang w:val="en-US" w:eastAsia="zh-CN"/>
        </w:rPr>
        <w:t>六</w:t>
      </w:r>
      <w:r>
        <w:rPr>
          <w:rFonts w:hint="eastAsia" w:ascii="宋体" w:hAnsi="宋体" w:eastAsia="仿宋_GB2312"/>
          <w:sz w:val="32"/>
          <w:szCs w:val="32"/>
        </w:rPr>
        <w:t xml:space="preserve">）鼓励采用现代科技手段，如安装视频监控、烟雾报警器等设备，提高零售点的安全管理水平。 </w:t>
      </w:r>
      <w:r>
        <w:rPr>
          <w:rFonts w:ascii="宋体" w:hAnsi="宋体" w:eastAsia="仿宋_GB2312"/>
          <w:sz w:val="32"/>
          <w:szCs w:val="32"/>
        </w:rPr>
        <w:t xml:space="preserve"> </w:t>
      </w:r>
    </w:p>
    <w:p w14:paraId="03CFF103">
      <w:pPr>
        <w:spacing w:line="560" w:lineRule="exact"/>
        <w:ind w:firstLine="636" w:firstLineChars="200"/>
        <w:rPr>
          <w:rFonts w:ascii="宋体" w:hAnsi="宋体" w:eastAsia="黑体"/>
          <w:sz w:val="32"/>
          <w:szCs w:val="32"/>
        </w:rPr>
      </w:pPr>
      <w:r>
        <w:rPr>
          <w:rFonts w:hint="eastAsia" w:ascii="宋体" w:hAnsi="宋体" w:eastAsia="黑体"/>
          <w:sz w:val="32"/>
          <w:szCs w:val="32"/>
        </w:rPr>
        <w:t>五、执行时间</w:t>
      </w:r>
    </w:p>
    <w:p w14:paraId="19B14BB6">
      <w:pPr>
        <w:spacing w:line="560" w:lineRule="exact"/>
        <w:ind w:firstLine="636" w:firstLineChars="200"/>
        <w:jc w:val="left"/>
        <w:rPr>
          <w:rFonts w:ascii="宋体" w:hAnsi="宋体" w:eastAsia="仿宋_GB2312"/>
          <w:sz w:val="32"/>
          <w:szCs w:val="32"/>
        </w:rPr>
      </w:pPr>
      <w:r>
        <w:rPr>
          <w:rFonts w:hint="eastAsia" w:ascii="宋体" w:hAnsi="宋体" w:eastAsia="仿宋_GB2312"/>
          <w:sz w:val="32"/>
          <w:szCs w:val="32"/>
        </w:rPr>
        <w:t>本方案自印发之日起实施，原恩平市应急管理局于20</w:t>
      </w:r>
      <w:r>
        <w:rPr>
          <w:rFonts w:hint="eastAsia" w:ascii="宋体" w:hAnsi="宋体" w:eastAsia="仿宋_GB2312"/>
          <w:sz w:val="32"/>
          <w:szCs w:val="32"/>
          <w:lang w:val="en-US" w:eastAsia="zh-CN"/>
        </w:rPr>
        <w:t>25</w:t>
      </w:r>
      <w:r>
        <w:rPr>
          <w:rFonts w:hint="eastAsia" w:ascii="宋体" w:hAnsi="宋体" w:eastAsia="仿宋_GB2312"/>
          <w:sz w:val="32"/>
          <w:szCs w:val="32"/>
        </w:rPr>
        <w:t>年</w:t>
      </w:r>
      <w:r>
        <w:rPr>
          <w:rFonts w:hint="eastAsia" w:ascii="宋体" w:hAnsi="宋体" w:eastAsia="仿宋_GB2312"/>
          <w:sz w:val="32"/>
          <w:szCs w:val="32"/>
          <w:lang w:val="en-US" w:eastAsia="zh-CN"/>
        </w:rPr>
        <w:t>1月6日</w:t>
      </w:r>
      <w:r>
        <w:rPr>
          <w:rFonts w:hint="eastAsia" w:ascii="宋体" w:hAnsi="宋体" w:eastAsia="仿宋_GB2312"/>
          <w:sz w:val="32"/>
          <w:szCs w:val="32"/>
        </w:rPr>
        <w:t>印发的《恩平市烟花爆竹经营（零售）布点规划方案》（202</w:t>
      </w:r>
      <w:r>
        <w:rPr>
          <w:rFonts w:hint="eastAsia" w:ascii="宋体" w:hAnsi="宋体" w:eastAsia="仿宋_GB2312"/>
          <w:sz w:val="32"/>
          <w:szCs w:val="32"/>
          <w:lang w:val="en-US" w:eastAsia="zh-CN"/>
        </w:rPr>
        <w:t>5</w:t>
      </w:r>
      <w:r>
        <w:rPr>
          <w:rFonts w:hint="eastAsia" w:ascii="宋体" w:hAnsi="宋体" w:eastAsia="仿宋_GB2312"/>
          <w:sz w:val="32"/>
          <w:szCs w:val="32"/>
        </w:rPr>
        <w:t>年修订）（恩应急〔202</w:t>
      </w:r>
      <w:r>
        <w:rPr>
          <w:rFonts w:hint="eastAsia" w:ascii="宋体" w:hAnsi="宋体" w:eastAsia="仿宋_GB2312"/>
          <w:sz w:val="32"/>
          <w:szCs w:val="32"/>
          <w:lang w:val="en-US" w:eastAsia="zh-CN"/>
        </w:rPr>
        <w:t>5</w:t>
      </w:r>
      <w:r>
        <w:rPr>
          <w:rFonts w:hint="eastAsia" w:ascii="宋体" w:hAnsi="宋体" w:eastAsia="仿宋_GB2312"/>
          <w:sz w:val="32"/>
          <w:szCs w:val="32"/>
        </w:rPr>
        <w:t>〕1号）同时</w:t>
      </w:r>
      <w:r>
        <w:rPr>
          <w:rFonts w:hint="eastAsia" w:ascii="宋体" w:hAnsi="宋体" w:eastAsia="仿宋_GB2312"/>
          <w:sz w:val="32"/>
          <w:szCs w:val="32"/>
          <w:lang w:val="en-US" w:eastAsia="zh-CN"/>
        </w:rPr>
        <w:t>废止</w:t>
      </w:r>
      <w:r>
        <w:rPr>
          <w:rFonts w:hint="eastAsia" w:ascii="宋体" w:hAnsi="宋体" w:eastAsia="仿宋_GB2312"/>
          <w:sz w:val="32"/>
          <w:szCs w:val="32"/>
        </w:rPr>
        <w:t>。</w:t>
      </w:r>
    </w:p>
    <w:p w14:paraId="75ED1E40">
      <w:pPr>
        <w:ind w:firstLine="636" w:firstLineChars="200"/>
        <w:rPr>
          <w:rFonts w:ascii="宋体" w:hAnsi="宋体" w:eastAsia="仿宋_GB2312"/>
          <w:sz w:val="32"/>
          <w:szCs w:val="32"/>
        </w:rPr>
      </w:pPr>
      <w:r>
        <w:rPr>
          <w:rFonts w:ascii="宋体" w:hAnsi="宋体" w:eastAsia="仿宋_GB2312"/>
          <w:sz w:val="32"/>
          <w:szCs w:val="32"/>
        </w:rPr>
        <w:t xml:space="preserve">            </w:t>
      </w:r>
    </w:p>
    <w:p w14:paraId="53691D8A">
      <w:pPr>
        <w:jc w:val="center"/>
        <w:rPr>
          <w:rFonts w:ascii="宋体" w:hAnsi="宋体" w:eastAsia="仿宋_GB2312"/>
          <w:sz w:val="32"/>
          <w:szCs w:val="32"/>
        </w:rPr>
      </w:pPr>
    </w:p>
    <w:p w14:paraId="15E064E0">
      <w:pPr>
        <w:jc w:val="center"/>
        <w:rPr>
          <w:rFonts w:ascii="宋体" w:hAnsi="宋体" w:eastAsia="仿宋_GB2312"/>
          <w:sz w:val="32"/>
          <w:szCs w:val="32"/>
        </w:rPr>
      </w:pPr>
    </w:p>
    <w:p w14:paraId="6BE1D3E6">
      <w:pPr>
        <w:pStyle w:val="2"/>
      </w:pPr>
    </w:p>
    <w:p w14:paraId="13C69E8B">
      <w:pPr>
        <w:jc w:val="center"/>
        <w:rPr>
          <w:rFonts w:ascii="宋体" w:hAnsi="宋体" w:eastAsia="仿宋_GB2312"/>
          <w:sz w:val="32"/>
          <w:szCs w:val="32"/>
        </w:rPr>
      </w:pPr>
    </w:p>
    <w:p w14:paraId="7B370250">
      <w:pPr>
        <w:spacing w:line="600" w:lineRule="exact"/>
        <w:jc w:val="left"/>
        <w:rPr>
          <w:rFonts w:hint="eastAsia" w:ascii="黑体" w:hAnsi="黑体" w:eastAsia="黑体"/>
          <w:sz w:val="32"/>
          <w:szCs w:val="32"/>
        </w:rPr>
      </w:pPr>
    </w:p>
    <w:p w14:paraId="77161181">
      <w:pPr>
        <w:spacing w:line="600" w:lineRule="exact"/>
        <w:jc w:val="left"/>
        <w:rPr>
          <w:rFonts w:hint="eastAsia" w:ascii="黑体" w:hAnsi="黑体" w:eastAsia="黑体"/>
          <w:sz w:val="32"/>
          <w:szCs w:val="32"/>
        </w:rPr>
      </w:pPr>
    </w:p>
    <w:p w14:paraId="4489B4F9">
      <w:pPr>
        <w:spacing w:line="600" w:lineRule="exact"/>
        <w:jc w:val="left"/>
        <w:rPr>
          <w:rFonts w:hint="eastAsia" w:ascii="黑体" w:hAnsi="黑体" w:eastAsia="黑体"/>
          <w:sz w:val="32"/>
          <w:szCs w:val="32"/>
        </w:rPr>
      </w:pPr>
    </w:p>
    <w:p w14:paraId="201DE5DB">
      <w:pPr>
        <w:spacing w:line="600" w:lineRule="exact"/>
        <w:jc w:val="left"/>
        <w:rPr>
          <w:rFonts w:ascii="黑体" w:hAnsi="黑体" w:eastAsia="黑体"/>
          <w:sz w:val="32"/>
          <w:szCs w:val="32"/>
        </w:rPr>
      </w:pPr>
      <w:r>
        <w:rPr>
          <w:rFonts w:hint="eastAsia" w:ascii="黑体" w:hAnsi="黑体" w:eastAsia="黑体"/>
          <w:sz w:val="32"/>
          <w:szCs w:val="32"/>
        </w:rPr>
        <w:t>附件</w:t>
      </w:r>
    </w:p>
    <w:p w14:paraId="3C352416">
      <w:pPr>
        <w:spacing w:line="70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恩平市烟花爆竹零售经营点总体控制数量指标</w:t>
      </w:r>
    </w:p>
    <w:p w14:paraId="3CE7FA8F">
      <w:pPr>
        <w:jc w:val="center"/>
        <w:rPr>
          <w:rFonts w:ascii="宋体" w:hAnsi="宋体"/>
          <w:sz w:val="32"/>
          <w:szCs w:val="32"/>
        </w:rPr>
      </w:pPr>
    </w:p>
    <w:tbl>
      <w:tblPr>
        <w:tblStyle w:val="6"/>
        <w:tblW w:w="6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9"/>
        <w:gridCol w:w="3359"/>
      </w:tblGrid>
      <w:tr w14:paraId="37B6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4B2996C5">
            <w:pPr>
              <w:spacing w:line="560" w:lineRule="exact"/>
              <w:jc w:val="center"/>
              <w:rPr>
                <w:rFonts w:ascii="仿宋_GB2312" w:eastAsia="仿宋_GB2312"/>
                <w:sz w:val="32"/>
                <w:szCs w:val="32"/>
              </w:rPr>
            </w:pPr>
            <w:r>
              <w:rPr>
                <w:rFonts w:ascii="仿宋_GB2312" w:eastAsia="仿宋_GB2312"/>
                <w:sz w:val="32"/>
                <w:szCs w:val="32"/>
              </w:rPr>
              <w:t>镇（街）</w:t>
            </w:r>
          </w:p>
        </w:tc>
        <w:tc>
          <w:tcPr>
            <w:tcW w:w="3359" w:type="dxa"/>
            <w:vAlign w:val="center"/>
          </w:tcPr>
          <w:p w14:paraId="1A856D2C">
            <w:pPr>
              <w:spacing w:line="560" w:lineRule="exact"/>
              <w:jc w:val="center"/>
              <w:rPr>
                <w:rFonts w:ascii="仿宋_GB2312" w:eastAsia="仿宋_GB2312"/>
                <w:sz w:val="32"/>
                <w:szCs w:val="32"/>
              </w:rPr>
            </w:pPr>
            <w:r>
              <w:rPr>
                <w:rFonts w:ascii="仿宋_GB2312" w:eastAsia="仿宋_GB2312"/>
                <w:sz w:val="32"/>
                <w:szCs w:val="32"/>
              </w:rPr>
              <w:t>规划控制数量（家）</w:t>
            </w:r>
          </w:p>
        </w:tc>
      </w:tr>
      <w:tr w14:paraId="5556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9" w:type="dxa"/>
            <w:vAlign w:val="center"/>
          </w:tcPr>
          <w:p w14:paraId="409D840D">
            <w:pPr>
              <w:spacing w:line="560" w:lineRule="exact"/>
              <w:jc w:val="center"/>
              <w:rPr>
                <w:rFonts w:ascii="仿宋_GB2312" w:eastAsia="仿宋_GB2312"/>
                <w:sz w:val="32"/>
                <w:szCs w:val="32"/>
              </w:rPr>
            </w:pPr>
            <w:r>
              <w:rPr>
                <w:rFonts w:ascii="仿宋_GB2312" w:eastAsia="仿宋_GB2312"/>
                <w:sz w:val="32"/>
                <w:szCs w:val="32"/>
              </w:rPr>
              <w:t>恩城街道</w:t>
            </w:r>
          </w:p>
        </w:tc>
        <w:tc>
          <w:tcPr>
            <w:tcW w:w="3359" w:type="dxa"/>
            <w:vAlign w:val="center"/>
          </w:tcPr>
          <w:p w14:paraId="4F896731">
            <w:pPr>
              <w:spacing w:line="560" w:lineRule="exact"/>
              <w:jc w:val="cente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w:t>
            </w:r>
            <w:r>
              <w:rPr>
                <w:rFonts w:hint="eastAsia" w:asciiTheme="minorEastAsia" w:hAnsiTheme="minorEastAsia" w:eastAsiaTheme="minorEastAsia"/>
                <w:sz w:val="32"/>
                <w:szCs w:val="32"/>
                <w:lang w:val="en-US" w:eastAsia="zh-CN"/>
              </w:rPr>
              <w:t>2</w:t>
            </w:r>
          </w:p>
        </w:tc>
      </w:tr>
      <w:tr w14:paraId="7B2F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49DAA193">
            <w:pPr>
              <w:spacing w:line="560" w:lineRule="exact"/>
              <w:jc w:val="center"/>
              <w:rPr>
                <w:rFonts w:ascii="仿宋_GB2312" w:eastAsia="仿宋_GB2312"/>
                <w:sz w:val="32"/>
                <w:szCs w:val="32"/>
              </w:rPr>
            </w:pPr>
            <w:r>
              <w:rPr>
                <w:rFonts w:ascii="仿宋_GB2312" w:eastAsia="仿宋_GB2312"/>
                <w:sz w:val="32"/>
                <w:szCs w:val="32"/>
              </w:rPr>
              <w:t>沙湖镇</w:t>
            </w:r>
          </w:p>
        </w:tc>
        <w:tc>
          <w:tcPr>
            <w:tcW w:w="3359" w:type="dxa"/>
            <w:vAlign w:val="center"/>
          </w:tcPr>
          <w:p w14:paraId="39CB035E">
            <w:pPr>
              <w:spacing w:line="560" w:lineRule="exact"/>
              <w:jc w:val="cente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9</w:t>
            </w:r>
          </w:p>
        </w:tc>
      </w:tr>
      <w:tr w14:paraId="1F40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4567F0A0">
            <w:pPr>
              <w:spacing w:line="560" w:lineRule="exact"/>
              <w:jc w:val="center"/>
              <w:rPr>
                <w:rFonts w:ascii="仿宋_GB2312" w:eastAsia="仿宋_GB2312"/>
                <w:sz w:val="32"/>
                <w:szCs w:val="32"/>
              </w:rPr>
            </w:pPr>
            <w:r>
              <w:rPr>
                <w:rFonts w:ascii="仿宋_GB2312" w:eastAsia="仿宋_GB2312"/>
                <w:sz w:val="32"/>
                <w:szCs w:val="32"/>
              </w:rPr>
              <w:t>牛江镇</w:t>
            </w:r>
          </w:p>
        </w:tc>
        <w:tc>
          <w:tcPr>
            <w:tcW w:w="3359" w:type="dxa"/>
            <w:vAlign w:val="center"/>
          </w:tcPr>
          <w:p w14:paraId="3B38FF0B">
            <w:pPr>
              <w:spacing w:line="560" w:lineRule="exact"/>
              <w:jc w:val="center"/>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5</w:t>
            </w:r>
          </w:p>
        </w:tc>
      </w:tr>
      <w:tr w14:paraId="1400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02D91A0E">
            <w:pPr>
              <w:spacing w:line="560" w:lineRule="exact"/>
              <w:jc w:val="center"/>
              <w:rPr>
                <w:rFonts w:ascii="仿宋_GB2312" w:eastAsia="仿宋_GB2312"/>
                <w:sz w:val="32"/>
                <w:szCs w:val="32"/>
              </w:rPr>
            </w:pPr>
            <w:r>
              <w:rPr>
                <w:rFonts w:ascii="仿宋_GB2312" w:eastAsia="仿宋_GB2312"/>
                <w:sz w:val="32"/>
                <w:szCs w:val="32"/>
              </w:rPr>
              <w:t>君堂镇</w:t>
            </w:r>
          </w:p>
        </w:tc>
        <w:tc>
          <w:tcPr>
            <w:tcW w:w="3359" w:type="dxa"/>
            <w:vAlign w:val="center"/>
          </w:tcPr>
          <w:p w14:paraId="4277AA63">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10</w:t>
            </w:r>
          </w:p>
        </w:tc>
      </w:tr>
      <w:tr w14:paraId="35A3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71DD0EA0">
            <w:pPr>
              <w:spacing w:line="560" w:lineRule="exact"/>
              <w:jc w:val="center"/>
              <w:rPr>
                <w:rFonts w:ascii="仿宋_GB2312" w:eastAsia="仿宋_GB2312"/>
                <w:sz w:val="32"/>
                <w:szCs w:val="32"/>
              </w:rPr>
            </w:pPr>
            <w:r>
              <w:rPr>
                <w:rFonts w:ascii="仿宋_GB2312" w:eastAsia="仿宋_GB2312"/>
                <w:sz w:val="32"/>
                <w:szCs w:val="32"/>
              </w:rPr>
              <w:t>圣堂镇</w:t>
            </w:r>
          </w:p>
        </w:tc>
        <w:tc>
          <w:tcPr>
            <w:tcW w:w="3359" w:type="dxa"/>
            <w:vAlign w:val="center"/>
          </w:tcPr>
          <w:p w14:paraId="0ED2C4C3">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10</w:t>
            </w:r>
          </w:p>
        </w:tc>
      </w:tr>
      <w:tr w14:paraId="6E28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0716BAF0">
            <w:pPr>
              <w:spacing w:line="560" w:lineRule="exact"/>
              <w:jc w:val="center"/>
              <w:rPr>
                <w:rFonts w:ascii="仿宋_GB2312" w:eastAsia="仿宋_GB2312"/>
                <w:sz w:val="32"/>
                <w:szCs w:val="32"/>
              </w:rPr>
            </w:pPr>
            <w:r>
              <w:rPr>
                <w:rFonts w:ascii="仿宋_GB2312" w:eastAsia="仿宋_GB2312"/>
                <w:sz w:val="32"/>
                <w:szCs w:val="32"/>
              </w:rPr>
              <w:t>良西镇</w:t>
            </w:r>
          </w:p>
        </w:tc>
        <w:tc>
          <w:tcPr>
            <w:tcW w:w="3359" w:type="dxa"/>
            <w:vAlign w:val="center"/>
          </w:tcPr>
          <w:p w14:paraId="2936FF60">
            <w:pPr>
              <w:spacing w:line="560" w:lineRule="exact"/>
              <w:jc w:val="cente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w:t>
            </w:r>
          </w:p>
        </w:tc>
      </w:tr>
      <w:tr w14:paraId="35E4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3C6C4338">
            <w:pPr>
              <w:spacing w:line="560" w:lineRule="exact"/>
              <w:jc w:val="center"/>
              <w:rPr>
                <w:rFonts w:ascii="仿宋_GB2312" w:eastAsia="仿宋_GB2312"/>
                <w:sz w:val="32"/>
                <w:szCs w:val="32"/>
              </w:rPr>
            </w:pPr>
            <w:r>
              <w:rPr>
                <w:rFonts w:ascii="仿宋_GB2312" w:eastAsia="仿宋_GB2312"/>
                <w:sz w:val="32"/>
                <w:szCs w:val="32"/>
              </w:rPr>
              <w:t>恩平园区·东成镇</w:t>
            </w:r>
          </w:p>
        </w:tc>
        <w:tc>
          <w:tcPr>
            <w:tcW w:w="3359" w:type="dxa"/>
            <w:vAlign w:val="center"/>
          </w:tcPr>
          <w:p w14:paraId="5D7A6DAD">
            <w:pPr>
              <w:spacing w:line="560" w:lineRule="exact"/>
              <w:jc w:val="center"/>
              <w:rPr>
                <w:rFonts w:asciiTheme="minorEastAsia" w:hAnsiTheme="minorEastAsia" w:eastAsiaTheme="minorEastAsia"/>
                <w:sz w:val="32"/>
                <w:szCs w:val="32"/>
              </w:rPr>
            </w:pPr>
            <w:r>
              <w:rPr>
                <w:rFonts w:asciiTheme="minorEastAsia" w:hAnsiTheme="minorEastAsia" w:eastAsiaTheme="minorEastAsia"/>
                <w:sz w:val="32"/>
                <w:szCs w:val="32"/>
              </w:rPr>
              <w:t>1</w:t>
            </w:r>
            <w:r>
              <w:rPr>
                <w:rFonts w:hint="eastAsia" w:asciiTheme="minorEastAsia" w:hAnsiTheme="minorEastAsia" w:eastAsiaTheme="minorEastAsia"/>
                <w:sz w:val="32"/>
                <w:szCs w:val="32"/>
              </w:rPr>
              <w:t>0</w:t>
            </w:r>
          </w:p>
        </w:tc>
      </w:tr>
      <w:tr w14:paraId="77B2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4B3DF32B">
            <w:pPr>
              <w:spacing w:line="560" w:lineRule="exact"/>
              <w:jc w:val="center"/>
              <w:rPr>
                <w:rFonts w:ascii="仿宋_GB2312" w:eastAsia="仿宋_GB2312"/>
                <w:sz w:val="32"/>
                <w:szCs w:val="32"/>
              </w:rPr>
            </w:pPr>
            <w:r>
              <w:rPr>
                <w:rFonts w:ascii="仿宋_GB2312" w:eastAsia="仿宋_GB2312"/>
                <w:sz w:val="32"/>
                <w:szCs w:val="32"/>
              </w:rPr>
              <w:t>大田镇</w:t>
            </w:r>
          </w:p>
        </w:tc>
        <w:tc>
          <w:tcPr>
            <w:tcW w:w="3359" w:type="dxa"/>
            <w:vAlign w:val="center"/>
          </w:tcPr>
          <w:p w14:paraId="05748763">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10</w:t>
            </w:r>
          </w:p>
        </w:tc>
      </w:tr>
      <w:tr w14:paraId="6760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676693A3">
            <w:pPr>
              <w:spacing w:line="560" w:lineRule="exact"/>
              <w:jc w:val="center"/>
              <w:rPr>
                <w:rFonts w:ascii="仿宋_GB2312" w:eastAsia="仿宋_GB2312"/>
                <w:sz w:val="32"/>
                <w:szCs w:val="32"/>
              </w:rPr>
            </w:pPr>
            <w:r>
              <w:rPr>
                <w:rFonts w:ascii="仿宋_GB2312" w:eastAsia="仿宋_GB2312"/>
                <w:sz w:val="32"/>
                <w:szCs w:val="32"/>
              </w:rPr>
              <w:t>横陂镇</w:t>
            </w:r>
          </w:p>
        </w:tc>
        <w:tc>
          <w:tcPr>
            <w:tcW w:w="3359" w:type="dxa"/>
            <w:vAlign w:val="center"/>
          </w:tcPr>
          <w:p w14:paraId="20551724">
            <w:pPr>
              <w:spacing w:line="560" w:lineRule="exact"/>
              <w:jc w:val="cente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6</w:t>
            </w:r>
          </w:p>
        </w:tc>
      </w:tr>
      <w:tr w14:paraId="74B4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10D793C2">
            <w:pPr>
              <w:spacing w:line="560" w:lineRule="exact"/>
              <w:jc w:val="center"/>
              <w:rPr>
                <w:rFonts w:ascii="仿宋_GB2312" w:eastAsia="仿宋_GB2312"/>
                <w:sz w:val="32"/>
                <w:szCs w:val="32"/>
              </w:rPr>
            </w:pPr>
            <w:r>
              <w:rPr>
                <w:rFonts w:ascii="仿宋_GB2312" w:eastAsia="仿宋_GB2312"/>
                <w:sz w:val="32"/>
                <w:szCs w:val="32"/>
              </w:rPr>
              <w:t>大槐镇</w:t>
            </w:r>
          </w:p>
        </w:tc>
        <w:tc>
          <w:tcPr>
            <w:tcW w:w="3359" w:type="dxa"/>
            <w:vAlign w:val="center"/>
          </w:tcPr>
          <w:p w14:paraId="4DA655B8">
            <w:pPr>
              <w:spacing w:line="560" w:lineRule="exact"/>
              <w:jc w:val="center"/>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5</w:t>
            </w:r>
          </w:p>
        </w:tc>
      </w:tr>
      <w:tr w14:paraId="557B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351384A9">
            <w:pPr>
              <w:spacing w:line="560" w:lineRule="exact"/>
              <w:jc w:val="center"/>
              <w:rPr>
                <w:rFonts w:ascii="仿宋_GB2312" w:eastAsia="仿宋_GB2312"/>
                <w:sz w:val="32"/>
                <w:szCs w:val="32"/>
              </w:rPr>
            </w:pPr>
            <w:r>
              <w:rPr>
                <w:rFonts w:ascii="仿宋_GB2312" w:eastAsia="仿宋_GB2312"/>
                <w:sz w:val="32"/>
                <w:szCs w:val="32"/>
              </w:rPr>
              <w:t>那吉镇</w:t>
            </w:r>
          </w:p>
        </w:tc>
        <w:tc>
          <w:tcPr>
            <w:tcW w:w="3359" w:type="dxa"/>
            <w:vAlign w:val="center"/>
          </w:tcPr>
          <w:p w14:paraId="259EF5E5">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3</w:t>
            </w:r>
          </w:p>
        </w:tc>
      </w:tr>
      <w:tr w14:paraId="3962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9" w:type="dxa"/>
            <w:vAlign w:val="center"/>
          </w:tcPr>
          <w:p w14:paraId="00F1214F">
            <w:pPr>
              <w:spacing w:line="560" w:lineRule="exact"/>
              <w:jc w:val="center"/>
              <w:rPr>
                <w:rFonts w:ascii="仿宋_GB2312" w:eastAsia="仿宋_GB2312"/>
                <w:sz w:val="32"/>
                <w:szCs w:val="32"/>
              </w:rPr>
            </w:pPr>
            <w:r>
              <w:rPr>
                <w:rFonts w:ascii="仿宋_GB2312" w:eastAsia="仿宋_GB2312"/>
                <w:sz w:val="32"/>
                <w:szCs w:val="32"/>
              </w:rPr>
              <w:t>总计</w:t>
            </w:r>
          </w:p>
        </w:tc>
        <w:tc>
          <w:tcPr>
            <w:tcW w:w="3359" w:type="dxa"/>
            <w:vAlign w:val="center"/>
          </w:tcPr>
          <w:p w14:paraId="102ADA39">
            <w:pPr>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96</w:t>
            </w:r>
          </w:p>
        </w:tc>
      </w:tr>
    </w:tbl>
    <w:p w14:paraId="508654DA">
      <w:pPr>
        <w:spacing w:line="560" w:lineRule="exact"/>
        <w:rPr>
          <w:rFonts w:ascii="宋体" w:hAnsi="宋体" w:eastAsia="仿宋_GB2312"/>
          <w:sz w:val="32"/>
          <w:szCs w:val="32"/>
          <w:shd w:val="clear" w:color="auto" w:fill="FFFFFF"/>
        </w:rPr>
      </w:pPr>
    </w:p>
    <w:sectPr>
      <w:footerReference r:id="rId3" w:type="default"/>
      <w:footerReference r:id="rId4" w:type="even"/>
      <w:pgSz w:w="11906" w:h="16838"/>
      <w:pgMar w:top="1928" w:right="1418" w:bottom="1814" w:left="1588" w:header="1361" w:footer="1616" w:gutter="0"/>
      <w:cols w:space="425" w:num="1"/>
      <w:docGrid w:type="linesAndChars" w:linePitch="592"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3AFC2">
    <w:pPr>
      <w:pStyle w:val="3"/>
      <w:framePr w:wrap="around" w:vAnchor="text" w:hAnchor="margin" w:xAlign="outside" w:y="1"/>
      <w:spacing w:before="360"/>
      <w:rPr>
        <w:rStyle w:val="8"/>
        <w:b/>
        <w:color w:val="FFFFFF"/>
        <w:sz w:val="28"/>
        <w:szCs w:val="28"/>
      </w:rPr>
    </w:pPr>
    <w:r>
      <w:rPr>
        <w:rStyle w:val="8"/>
        <w:rFonts w:hint="eastAsia"/>
        <w:b/>
        <w:color w:val="FFFFFF"/>
        <w:sz w:val="28"/>
        <w:szCs w:val="28"/>
      </w:rPr>
      <w:t>—</w:t>
    </w:r>
    <w:r>
      <w:rPr>
        <w:rStyle w:val="8"/>
        <w:rFonts w:hint="eastAsia"/>
        <w:b/>
        <w:sz w:val="28"/>
        <w:szCs w:val="28"/>
      </w:rPr>
      <w:t xml:space="preserve">— </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rFonts w:hint="eastAsia"/>
        <w:b/>
        <w:sz w:val="28"/>
        <w:szCs w:val="28"/>
      </w:rPr>
      <w:t xml:space="preserve"> —</w:t>
    </w:r>
    <w:r>
      <w:rPr>
        <w:rStyle w:val="8"/>
        <w:rFonts w:hint="eastAsia"/>
        <w:b/>
        <w:color w:val="FFFFFF"/>
        <w:sz w:val="28"/>
        <w:szCs w:val="28"/>
      </w:rPr>
      <w:t>—</w:t>
    </w:r>
  </w:p>
  <w:p w14:paraId="40972145">
    <w:pPr>
      <w:pStyle w:val="3"/>
      <w:spacing w:before="36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0261">
    <w:pPr>
      <w:pStyle w:val="3"/>
      <w:framePr w:wrap="around" w:vAnchor="text" w:hAnchor="margin" w:xAlign="outside" w:y="1"/>
      <w:spacing w:before="360"/>
      <w:rPr>
        <w:rStyle w:val="8"/>
      </w:rPr>
    </w:pPr>
    <w:r>
      <w:rPr>
        <w:rStyle w:val="8"/>
      </w:rPr>
      <w:fldChar w:fldCharType="begin"/>
    </w:r>
    <w:r>
      <w:rPr>
        <w:rStyle w:val="8"/>
      </w:rPr>
      <w:instrText xml:space="preserve">PAGE  </w:instrText>
    </w:r>
    <w:r>
      <w:rPr>
        <w:rStyle w:val="8"/>
      </w:rPr>
      <w:fldChar w:fldCharType="end"/>
    </w:r>
  </w:p>
  <w:p w14:paraId="7E6ECFA7">
    <w:pPr>
      <w:pStyle w:val="3"/>
      <w:spacing w:before="360"/>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59"/>
  <w:drawingGridVerticalSpacing w:val="2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UxNGMyZTYzMzNlNjdhY2JmODE0Nzc2ZTk4NGY4MDUifQ=="/>
  </w:docVars>
  <w:rsids>
    <w:rsidRoot w:val="00C74340"/>
    <w:rsid w:val="000A5FBF"/>
    <w:rsid w:val="000E01CE"/>
    <w:rsid w:val="000E0773"/>
    <w:rsid w:val="001400ED"/>
    <w:rsid w:val="00170FB6"/>
    <w:rsid w:val="001B49BB"/>
    <w:rsid w:val="001D1CBD"/>
    <w:rsid w:val="001D5415"/>
    <w:rsid w:val="00251DDA"/>
    <w:rsid w:val="00267224"/>
    <w:rsid w:val="00285F10"/>
    <w:rsid w:val="00362F65"/>
    <w:rsid w:val="003A2FDB"/>
    <w:rsid w:val="003C517A"/>
    <w:rsid w:val="003C6A28"/>
    <w:rsid w:val="003F0BCF"/>
    <w:rsid w:val="0040001D"/>
    <w:rsid w:val="0042462F"/>
    <w:rsid w:val="004D08E7"/>
    <w:rsid w:val="004E599D"/>
    <w:rsid w:val="005E46FD"/>
    <w:rsid w:val="00600E52"/>
    <w:rsid w:val="00641B32"/>
    <w:rsid w:val="00685E5B"/>
    <w:rsid w:val="00695772"/>
    <w:rsid w:val="006E17E2"/>
    <w:rsid w:val="006F5697"/>
    <w:rsid w:val="007000FF"/>
    <w:rsid w:val="00777A9A"/>
    <w:rsid w:val="007835FB"/>
    <w:rsid w:val="00785C13"/>
    <w:rsid w:val="007865A7"/>
    <w:rsid w:val="007A31FC"/>
    <w:rsid w:val="007A5654"/>
    <w:rsid w:val="007C19A7"/>
    <w:rsid w:val="007C44C3"/>
    <w:rsid w:val="00800E98"/>
    <w:rsid w:val="008644BC"/>
    <w:rsid w:val="008D0B86"/>
    <w:rsid w:val="008D79DA"/>
    <w:rsid w:val="008F6799"/>
    <w:rsid w:val="0095034A"/>
    <w:rsid w:val="00953C7A"/>
    <w:rsid w:val="009B356F"/>
    <w:rsid w:val="009C45F7"/>
    <w:rsid w:val="009D0951"/>
    <w:rsid w:val="00A237C2"/>
    <w:rsid w:val="00A61969"/>
    <w:rsid w:val="00AD5A4E"/>
    <w:rsid w:val="00B3676F"/>
    <w:rsid w:val="00BC4064"/>
    <w:rsid w:val="00BE6E77"/>
    <w:rsid w:val="00C11777"/>
    <w:rsid w:val="00C31D77"/>
    <w:rsid w:val="00C353CF"/>
    <w:rsid w:val="00C37A39"/>
    <w:rsid w:val="00C449D5"/>
    <w:rsid w:val="00C74340"/>
    <w:rsid w:val="00C77868"/>
    <w:rsid w:val="00C904ED"/>
    <w:rsid w:val="00CA0488"/>
    <w:rsid w:val="00CA0871"/>
    <w:rsid w:val="00CE063E"/>
    <w:rsid w:val="00DB5D9D"/>
    <w:rsid w:val="00DC1DBC"/>
    <w:rsid w:val="00E320A8"/>
    <w:rsid w:val="00E32516"/>
    <w:rsid w:val="00EC73DC"/>
    <w:rsid w:val="00F4083D"/>
    <w:rsid w:val="00F64E75"/>
    <w:rsid w:val="00F7597A"/>
    <w:rsid w:val="00F87949"/>
    <w:rsid w:val="00FA67DE"/>
    <w:rsid w:val="00FB1915"/>
    <w:rsid w:val="00FC218F"/>
    <w:rsid w:val="00FD5AEF"/>
    <w:rsid w:val="04853767"/>
    <w:rsid w:val="083E2346"/>
    <w:rsid w:val="0C3F439C"/>
    <w:rsid w:val="0F5041AA"/>
    <w:rsid w:val="185D0E09"/>
    <w:rsid w:val="19AA19F0"/>
    <w:rsid w:val="2F0E7FC2"/>
    <w:rsid w:val="31550DA9"/>
    <w:rsid w:val="41A319D3"/>
    <w:rsid w:val="434858BC"/>
    <w:rsid w:val="47322C84"/>
    <w:rsid w:val="4CB55588"/>
    <w:rsid w:val="543A7D2D"/>
    <w:rsid w:val="56812534"/>
    <w:rsid w:val="59F7654C"/>
    <w:rsid w:val="67140D19"/>
    <w:rsid w:val="70881860"/>
    <w:rsid w:val="7284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Courier New"/>
      <w:sz w:val="21"/>
      <w:szCs w:val="21"/>
    </w:rPr>
  </w:style>
  <w:style w:type="paragraph" w:styleId="3">
    <w:name w:val="footer"/>
    <w:basedOn w:val="1"/>
    <w:link w:val="9"/>
    <w:qFormat/>
    <w:uiPriority w:val="99"/>
    <w:pPr>
      <w:tabs>
        <w:tab w:val="center" w:pos="4153"/>
        <w:tab w:val="right" w:pos="8306"/>
      </w:tabs>
      <w:snapToGrid w:val="0"/>
      <w:jc w:val="left"/>
    </w:pPr>
    <w:rPr>
      <w:rFonts w:eastAsia="仿宋_GB2312"/>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仿宋_GB2312"/>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autoRedefine/>
    <w:qFormat/>
    <w:uiPriority w:val="0"/>
  </w:style>
  <w:style w:type="character" w:customStyle="1" w:styleId="9">
    <w:name w:val="页脚 Char"/>
    <w:basedOn w:val="7"/>
    <w:link w:val="3"/>
    <w:qFormat/>
    <w:uiPriority w:val="99"/>
    <w:rPr>
      <w:rFonts w:eastAsia="仿宋_GB2312"/>
      <w:kern w:val="2"/>
      <w:sz w:val="18"/>
      <w:szCs w:val="18"/>
    </w:rPr>
  </w:style>
  <w:style w:type="paragraph" w:customStyle="1" w:styleId="10">
    <w:name w:val="p0"/>
    <w:basedOn w:val="1"/>
    <w:qFormat/>
    <w:uiPriority w:val="0"/>
    <w:pPr>
      <w:widowControl/>
    </w:pPr>
    <w:rPr>
      <w:rFonts w:hint="eastAsi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2168</Words>
  <Characters>2251</Characters>
  <Lines>15</Lines>
  <Paragraphs>4</Paragraphs>
  <TotalTime>0</TotalTime>
  <ScaleCrop>false</ScaleCrop>
  <LinksUpToDate>false</LinksUpToDate>
  <CharactersWithSpaces>2307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2022-07-06T02:51:00Z</dcterms:created>
  <dc:creator>陈观侨</dc:creator>
  <cp:lastModifiedBy>风云再起</cp:lastModifiedBy>
  <cp:lastPrinted>2025-11-11T03:32:00Z</cp:lastPrinted>
  <dcterms:modified xsi:type="dcterms:W3CDTF">2025-11-23T01:14:45Z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BF8B8B7CCF554BE29E069737EA2EE5A6_12</vt:lpwstr>
  </property>
  <property fmtid="{D5CDD505-2E9C-101B-9397-08002B2CF9AE}" pid="4" name="KSOTemplateDocerSaveRecord">
    <vt:lpwstr>eyJoZGlkIjoiYTY3N2I3YjMyZjQ4NGE4ZTMwYzk5NmFjODVjOWNiM2YiLCJ1c2VySWQiOiI2NTQyNzQ4NjkifQ==</vt:lpwstr>
  </property>
</Properties>
</file>