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BECA">
      <w:pPr>
        <w:rPr>
          <w:rFonts w:hint="eastAsia" w:ascii="方正仿宋简体" w:hAnsi="方正仿宋简体" w:eastAsia="方正仿宋简体" w:cs="方正仿宋简体"/>
          <w:sz w:val="32"/>
          <w:szCs w:val="32"/>
          <w:lang w:val="en-US" w:eastAsia="zh-CN"/>
        </w:rPr>
      </w:pPr>
      <w:r>
        <w:rPr>
          <w:rFonts w:hint="eastAsia" w:ascii="方正黑体简体" w:hAnsi="方正黑体简体" w:eastAsia="方正黑体简体" w:cs="方正黑体简体"/>
          <w:sz w:val="32"/>
          <w:szCs w:val="32"/>
          <w:lang w:val="en-US" w:eastAsia="zh-CN"/>
        </w:rPr>
        <w:t>附件：</w:t>
      </w:r>
    </w:p>
    <w:p w14:paraId="3BF611C7">
      <w:pPr>
        <w:jc w:val="center"/>
        <w:rPr>
          <w:rFonts w:hint="eastAsia"/>
          <w:lang w:val="en-US" w:eastAsia="zh-CN"/>
        </w:rPr>
      </w:pPr>
      <w:r>
        <w:rPr>
          <w:rFonts w:hint="eastAsia" w:ascii="方正小标宋简体" w:hAnsi="方正小标宋简体" w:eastAsia="方正小标宋简体" w:cs="方正小标宋简体"/>
          <w:sz w:val="44"/>
          <w:szCs w:val="44"/>
          <w:lang w:val="en-US" w:eastAsia="zh-CN"/>
        </w:rPr>
        <w:t>2025年渔船安全生产、隐患排查和应急演练培训项目评分表</w:t>
      </w:r>
    </w:p>
    <w:tbl>
      <w:tblPr>
        <w:tblStyle w:val="4"/>
        <w:tblpPr w:leftFromText="180" w:rightFromText="180" w:vertAnchor="text" w:horzAnchor="page" w:tblpXSpec="center" w:tblpY="344"/>
        <w:tblOverlap w:val="never"/>
        <w:tblW w:w="13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8"/>
        <w:gridCol w:w="10658"/>
        <w:gridCol w:w="1223"/>
      </w:tblGrid>
      <w:tr w14:paraId="0E429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238" w:type="dxa"/>
            <w:noWrap w:val="0"/>
            <w:vAlign w:val="center"/>
          </w:tcPr>
          <w:p w14:paraId="4266DBF7">
            <w:pPr>
              <w:spacing w:line="560" w:lineRule="exact"/>
              <w:jc w:val="center"/>
              <w:rPr>
                <w:rFonts w:hint="eastAsia" w:ascii="仿宋_GB2312" w:eastAsia="仿宋_GB2312"/>
                <w:b/>
                <w:sz w:val="24"/>
              </w:rPr>
            </w:pPr>
            <w:r>
              <w:rPr>
                <w:rFonts w:hint="eastAsia" w:ascii="仿宋_GB2312" w:eastAsia="仿宋_GB2312"/>
                <w:b/>
                <w:sz w:val="24"/>
              </w:rPr>
              <w:t>评分内容</w:t>
            </w:r>
          </w:p>
        </w:tc>
        <w:tc>
          <w:tcPr>
            <w:tcW w:w="10658" w:type="dxa"/>
            <w:noWrap w:val="0"/>
            <w:vAlign w:val="center"/>
          </w:tcPr>
          <w:p w14:paraId="457D0B9F">
            <w:pPr>
              <w:spacing w:line="560" w:lineRule="exact"/>
              <w:jc w:val="center"/>
              <w:rPr>
                <w:rFonts w:hint="eastAsia" w:ascii="仿宋_GB2312" w:eastAsia="仿宋_GB2312"/>
                <w:b/>
                <w:sz w:val="24"/>
              </w:rPr>
            </w:pPr>
            <w:r>
              <w:rPr>
                <w:rFonts w:hint="eastAsia" w:ascii="仿宋_GB2312" w:eastAsia="仿宋_GB2312"/>
                <w:b/>
                <w:sz w:val="24"/>
              </w:rPr>
              <w:t>评分指标</w:t>
            </w:r>
          </w:p>
        </w:tc>
        <w:tc>
          <w:tcPr>
            <w:tcW w:w="1223" w:type="dxa"/>
            <w:noWrap w:val="0"/>
            <w:vAlign w:val="center"/>
          </w:tcPr>
          <w:p w14:paraId="5976DA95">
            <w:pPr>
              <w:spacing w:line="560" w:lineRule="exact"/>
              <w:jc w:val="center"/>
              <w:rPr>
                <w:rFonts w:hint="eastAsia" w:ascii="仿宋_GB2312" w:eastAsia="仿宋_GB2312"/>
                <w:b/>
                <w:sz w:val="24"/>
              </w:rPr>
            </w:pPr>
            <w:r>
              <w:rPr>
                <w:rFonts w:hint="eastAsia" w:ascii="仿宋_GB2312" w:eastAsia="仿宋_GB2312"/>
                <w:b/>
                <w:sz w:val="24"/>
              </w:rPr>
              <w:t>分值</w:t>
            </w:r>
          </w:p>
        </w:tc>
      </w:tr>
      <w:tr w14:paraId="03330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1238" w:type="dxa"/>
            <w:noWrap w:val="0"/>
            <w:vAlign w:val="center"/>
          </w:tcPr>
          <w:p w14:paraId="2623C581">
            <w:pPr>
              <w:spacing w:line="560" w:lineRule="exact"/>
              <w:jc w:val="center"/>
              <w:rPr>
                <w:rFonts w:hint="eastAsia" w:ascii="仿宋_GB2312" w:hAnsi="宋体" w:eastAsia="仿宋_GB2312"/>
                <w:sz w:val="24"/>
              </w:rPr>
            </w:pPr>
            <w:r>
              <w:rPr>
                <w:rFonts w:hint="eastAsia" w:ascii="仿宋_GB2312" w:hAnsi="宋体" w:eastAsia="仿宋_GB2312"/>
                <w:sz w:val="24"/>
              </w:rPr>
              <w:t>项目方案</w:t>
            </w:r>
          </w:p>
          <w:p w14:paraId="14CD580F">
            <w:pPr>
              <w:spacing w:line="560" w:lineRule="exact"/>
              <w:jc w:val="center"/>
              <w:rPr>
                <w:rFonts w:hint="eastAsia"/>
                <w:sz w:val="24"/>
              </w:rPr>
            </w:pPr>
            <w:r>
              <w:rPr>
                <w:rFonts w:hint="eastAsia" w:ascii="仿宋_GB2312" w:hAnsi="宋体" w:eastAsia="仿宋_GB2312"/>
                <w:sz w:val="24"/>
              </w:rPr>
              <w:t>（</w:t>
            </w:r>
            <w:r>
              <w:rPr>
                <w:rFonts w:hint="eastAsia" w:ascii="仿宋_GB2312" w:hAnsi="宋体" w:eastAsia="仿宋_GB2312"/>
                <w:sz w:val="24"/>
                <w:lang w:val="en-US" w:eastAsia="zh-CN"/>
              </w:rPr>
              <w:t>25</w:t>
            </w:r>
            <w:r>
              <w:rPr>
                <w:rFonts w:hint="eastAsia" w:ascii="仿宋_GB2312" w:hAnsi="宋体" w:eastAsia="仿宋_GB2312"/>
                <w:sz w:val="24"/>
              </w:rPr>
              <w:t>分）</w:t>
            </w:r>
          </w:p>
        </w:tc>
        <w:tc>
          <w:tcPr>
            <w:tcW w:w="10658" w:type="dxa"/>
            <w:noWrap w:val="0"/>
            <w:vAlign w:val="top"/>
          </w:tcPr>
          <w:p w14:paraId="1A58354D">
            <w:pPr>
              <w:pStyle w:val="3"/>
              <w:spacing w:line="56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实施方案能响应项目需求，针对每个培训环节、每个培训课程都有具体的、科学的、针对性的实施方案。不能响应项目需要的本项得0分。</w:t>
            </w:r>
          </w:p>
        </w:tc>
        <w:tc>
          <w:tcPr>
            <w:tcW w:w="1223" w:type="dxa"/>
            <w:noWrap w:val="0"/>
            <w:vAlign w:val="center"/>
          </w:tcPr>
          <w:p w14:paraId="20B04768">
            <w:pPr>
              <w:spacing w:line="560" w:lineRule="exact"/>
              <w:jc w:val="center"/>
              <w:rPr>
                <w:rFonts w:hint="eastAsia" w:ascii="仿宋_GB2312" w:eastAsia="仿宋_GB2312"/>
                <w:sz w:val="24"/>
              </w:rPr>
            </w:pPr>
          </w:p>
        </w:tc>
      </w:tr>
      <w:tr w14:paraId="382F7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238" w:type="dxa"/>
            <w:noWrap w:val="0"/>
            <w:vAlign w:val="center"/>
          </w:tcPr>
          <w:p w14:paraId="5F05AC6B">
            <w:pPr>
              <w:spacing w:line="560" w:lineRule="exact"/>
              <w:jc w:val="center"/>
              <w:rPr>
                <w:rFonts w:hint="eastAsia" w:ascii="仿宋_GB2312" w:hAnsi="宋体" w:eastAsia="仿宋_GB2312"/>
                <w:sz w:val="24"/>
              </w:rPr>
            </w:pPr>
            <w:r>
              <w:rPr>
                <w:rFonts w:hint="eastAsia" w:ascii="仿宋_GB2312" w:hAnsi="宋体" w:eastAsia="仿宋_GB2312"/>
                <w:sz w:val="24"/>
              </w:rPr>
              <w:t>师资安排</w:t>
            </w:r>
          </w:p>
          <w:p w14:paraId="0DD13795">
            <w:pPr>
              <w:spacing w:line="560" w:lineRule="exact"/>
              <w:jc w:val="center"/>
              <w:rPr>
                <w:rFonts w:hint="eastAsia"/>
              </w:rPr>
            </w:pPr>
            <w:r>
              <w:rPr>
                <w:rFonts w:hint="eastAsia" w:ascii="仿宋_GB2312" w:hAnsi="宋体" w:eastAsia="仿宋_GB2312"/>
                <w:sz w:val="24"/>
              </w:rPr>
              <w:t>（</w:t>
            </w:r>
            <w:r>
              <w:rPr>
                <w:rFonts w:hint="eastAsia" w:ascii="仿宋_GB2312" w:hAnsi="宋体" w:eastAsia="仿宋_GB2312"/>
                <w:sz w:val="24"/>
                <w:lang w:val="en-US" w:eastAsia="zh-CN"/>
              </w:rPr>
              <w:t>10</w:t>
            </w:r>
            <w:r>
              <w:rPr>
                <w:rFonts w:hint="eastAsia" w:ascii="仿宋_GB2312" w:hAnsi="宋体" w:eastAsia="仿宋_GB2312"/>
                <w:sz w:val="24"/>
              </w:rPr>
              <w:t>分）</w:t>
            </w:r>
          </w:p>
        </w:tc>
        <w:tc>
          <w:tcPr>
            <w:tcW w:w="10658" w:type="dxa"/>
            <w:noWrap w:val="0"/>
            <w:vAlign w:val="center"/>
          </w:tcPr>
          <w:p w14:paraId="31AAEA06">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聘请相关专业老师或资深渔船检验技术人员授课得</w:t>
            </w:r>
            <w:r>
              <w:rPr>
                <w:rFonts w:hint="eastAsia" w:ascii="仿宋_GB2312" w:hAnsi="仿宋_GB2312" w:eastAsia="仿宋_GB2312" w:cs="仿宋_GB2312"/>
                <w:sz w:val="24"/>
                <w:lang w:val="en-US" w:eastAsia="zh-CN"/>
              </w:rPr>
              <w:t>10</w:t>
            </w:r>
            <w:r>
              <w:rPr>
                <w:rFonts w:hint="eastAsia" w:ascii="仿宋_GB2312" w:hAnsi="仿宋_GB2312" w:eastAsia="仿宋_GB2312" w:cs="仿宋_GB2312"/>
                <w:sz w:val="24"/>
              </w:rPr>
              <w:t>分。</w:t>
            </w:r>
          </w:p>
        </w:tc>
        <w:tc>
          <w:tcPr>
            <w:tcW w:w="1223" w:type="dxa"/>
            <w:noWrap w:val="0"/>
            <w:vAlign w:val="center"/>
          </w:tcPr>
          <w:p w14:paraId="412B3BD2">
            <w:pPr>
              <w:pStyle w:val="2"/>
              <w:rPr>
                <w:rFonts w:hint="eastAsia"/>
              </w:rPr>
            </w:pPr>
          </w:p>
        </w:tc>
      </w:tr>
      <w:tr w14:paraId="7B418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238" w:type="dxa"/>
            <w:noWrap w:val="0"/>
            <w:vAlign w:val="center"/>
          </w:tcPr>
          <w:p w14:paraId="1606BB55">
            <w:pPr>
              <w:spacing w:line="56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采购物资（10分）</w:t>
            </w:r>
          </w:p>
        </w:tc>
        <w:tc>
          <w:tcPr>
            <w:tcW w:w="10658" w:type="dxa"/>
            <w:noWrap w:val="0"/>
            <w:vAlign w:val="center"/>
          </w:tcPr>
          <w:p w14:paraId="487942AC">
            <w:pPr>
              <w:spacing w:line="56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能提供计划采购消防灭火器、救生衣等安全应急装备供应商资质材料得10分。</w:t>
            </w:r>
          </w:p>
        </w:tc>
        <w:tc>
          <w:tcPr>
            <w:tcW w:w="1223" w:type="dxa"/>
            <w:noWrap w:val="0"/>
            <w:vAlign w:val="center"/>
          </w:tcPr>
          <w:p w14:paraId="5254AE4C">
            <w:pPr>
              <w:pStyle w:val="2"/>
              <w:rPr>
                <w:rFonts w:hint="eastAsia"/>
              </w:rPr>
            </w:pPr>
          </w:p>
        </w:tc>
      </w:tr>
      <w:tr w14:paraId="0B6C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238" w:type="dxa"/>
            <w:vMerge w:val="restart"/>
            <w:noWrap w:val="0"/>
            <w:vAlign w:val="center"/>
          </w:tcPr>
          <w:p w14:paraId="3E602249">
            <w:pPr>
              <w:spacing w:line="560" w:lineRule="exact"/>
              <w:jc w:val="center"/>
              <w:rPr>
                <w:rFonts w:hint="eastAsia" w:ascii="仿宋_GB2312" w:hAnsi="宋体" w:eastAsia="仿宋_GB2312"/>
                <w:sz w:val="24"/>
              </w:rPr>
            </w:pPr>
            <w:r>
              <w:rPr>
                <w:rFonts w:hint="eastAsia" w:ascii="仿宋_GB2312" w:hAnsi="宋体" w:eastAsia="仿宋_GB2312"/>
                <w:sz w:val="24"/>
              </w:rPr>
              <w:t>供应商情况（2</w:t>
            </w:r>
            <w:r>
              <w:rPr>
                <w:rFonts w:hint="eastAsia" w:ascii="仿宋_GB2312" w:hAnsi="宋体" w:eastAsia="仿宋_GB2312"/>
                <w:sz w:val="24"/>
                <w:lang w:val="en-US" w:eastAsia="zh-CN"/>
              </w:rPr>
              <w:t>5</w:t>
            </w:r>
            <w:r>
              <w:rPr>
                <w:rFonts w:hint="eastAsia" w:ascii="仿宋_GB2312" w:hAnsi="宋体" w:eastAsia="仿宋_GB2312"/>
                <w:sz w:val="24"/>
              </w:rPr>
              <w:t>分）</w:t>
            </w:r>
          </w:p>
        </w:tc>
        <w:tc>
          <w:tcPr>
            <w:tcW w:w="10658" w:type="dxa"/>
            <w:tcBorders>
              <w:bottom w:val="single" w:color="auto" w:sz="4" w:space="0"/>
            </w:tcBorders>
            <w:noWrap w:val="0"/>
            <w:vAlign w:val="top"/>
          </w:tcPr>
          <w:p w14:paraId="3501E6D5">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1.每提供一份渔船安全生产培训相关业务合同得5分，此项最高得15分。</w:t>
            </w:r>
          </w:p>
          <w:p w14:paraId="356A3671">
            <w:pPr>
              <w:spacing w:line="560" w:lineRule="exact"/>
              <w:rPr>
                <w:rFonts w:hint="eastAsia" w:ascii="仿宋_GB2312" w:hAnsi="仿宋_GB2312" w:eastAsia="仿宋_GB2312" w:cs="仿宋_GB2312"/>
                <w:sz w:val="24"/>
              </w:rPr>
            </w:pPr>
            <w:r>
              <w:rPr>
                <w:rFonts w:hint="eastAsia" w:ascii="仿宋_GB2312" w:hAnsi="仿宋_GB2312" w:eastAsia="仿宋_GB2312" w:cs="仿宋_GB2312"/>
                <w:sz w:val="24"/>
              </w:rPr>
              <w:t>注：需提供合同复印件；同本单位签订的培训合同不纳入统计范围。</w:t>
            </w:r>
          </w:p>
        </w:tc>
        <w:tc>
          <w:tcPr>
            <w:tcW w:w="1223" w:type="dxa"/>
            <w:tcBorders>
              <w:bottom w:val="single" w:color="auto" w:sz="4" w:space="0"/>
            </w:tcBorders>
            <w:noWrap w:val="0"/>
            <w:vAlign w:val="center"/>
          </w:tcPr>
          <w:p w14:paraId="7BE8003A">
            <w:pPr>
              <w:spacing w:line="560" w:lineRule="exact"/>
              <w:jc w:val="center"/>
              <w:rPr>
                <w:rFonts w:hint="eastAsia" w:ascii="仿宋_GB2312" w:hAnsi="Times New Roman" w:eastAsia="仿宋_GB2312"/>
                <w:sz w:val="24"/>
              </w:rPr>
            </w:pPr>
          </w:p>
        </w:tc>
      </w:tr>
      <w:tr w14:paraId="57AE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6" w:hRule="atLeast"/>
        </w:trPr>
        <w:tc>
          <w:tcPr>
            <w:tcW w:w="1238" w:type="dxa"/>
            <w:vMerge w:val="continue"/>
            <w:noWrap w:val="0"/>
            <w:vAlign w:val="center"/>
          </w:tcPr>
          <w:p w14:paraId="3E415E62">
            <w:pPr>
              <w:spacing w:line="560" w:lineRule="exact"/>
              <w:jc w:val="center"/>
              <w:rPr>
                <w:rFonts w:hint="eastAsia" w:ascii="仿宋_GB2312" w:hAnsi="宋体" w:eastAsia="仿宋_GB2312"/>
                <w:sz w:val="24"/>
              </w:rPr>
            </w:pPr>
          </w:p>
        </w:tc>
        <w:tc>
          <w:tcPr>
            <w:tcW w:w="10658" w:type="dxa"/>
            <w:tcBorders>
              <w:top w:val="single" w:color="auto" w:sz="4" w:space="0"/>
              <w:bottom w:val="single" w:color="auto" w:sz="4" w:space="0"/>
            </w:tcBorders>
            <w:noWrap w:val="0"/>
            <w:vAlign w:val="top"/>
          </w:tcPr>
          <w:p w14:paraId="443EE4EA">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2、近三年内，企业无行政处罚记录及合同纠纷的得5分，出现一例行政处罚或合同被告方的，得0分。</w:t>
            </w:r>
          </w:p>
          <w:p w14:paraId="26738D29">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注：此项以供应商作出书面承诺为证明材料，书面承诺将写入合同责任，作为合同其中一条款。</w:t>
            </w:r>
          </w:p>
        </w:tc>
        <w:tc>
          <w:tcPr>
            <w:tcW w:w="1223" w:type="dxa"/>
            <w:tcBorders>
              <w:top w:val="single" w:color="auto" w:sz="4" w:space="0"/>
              <w:bottom w:val="single" w:color="auto" w:sz="4" w:space="0"/>
            </w:tcBorders>
            <w:noWrap w:val="0"/>
            <w:vAlign w:val="center"/>
          </w:tcPr>
          <w:p w14:paraId="4A3281E9">
            <w:pPr>
              <w:spacing w:line="560" w:lineRule="exact"/>
              <w:jc w:val="center"/>
              <w:rPr>
                <w:rFonts w:hint="eastAsia" w:ascii="仿宋_GB2312" w:hAnsi="Times New Roman" w:eastAsia="仿宋_GB2312"/>
                <w:sz w:val="24"/>
              </w:rPr>
            </w:pPr>
          </w:p>
        </w:tc>
      </w:tr>
      <w:tr w14:paraId="7E78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 w:hRule="atLeast"/>
        </w:trPr>
        <w:tc>
          <w:tcPr>
            <w:tcW w:w="1238" w:type="dxa"/>
            <w:vMerge w:val="continue"/>
            <w:noWrap w:val="0"/>
            <w:vAlign w:val="center"/>
          </w:tcPr>
          <w:p w14:paraId="44B75C01">
            <w:pPr>
              <w:spacing w:line="560" w:lineRule="exact"/>
              <w:jc w:val="center"/>
              <w:rPr>
                <w:rFonts w:hint="eastAsia" w:ascii="仿宋_GB2312" w:hAnsi="宋体" w:eastAsia="仿宋_GB2312"/>
                <w:sz w:val="24"/>
              </w:rPr>
            </w:pPr>
          </w:p>
        </w:tc>
        <w:tc>
          <w:tcPr>
            <w:tcW w:w="10658" w:type="dxa"/>
            <w:tcBorders>
              <w:top w:val="single" w:color="auto" w:sz="4" w:space="0"/>
            </w:tcBorders>
            <w:noWrap w:val="0"/>
            <w:vAlign w:val="top"/>
          </w:tcPr>
          <w:p w14:paraId="59BBBE4D">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3、具备安全培训、船员培训等相关营业资质，得5分。</w:t>
            </w:r>
          </w:p>
          <w:p w14:paraId="135FB22E">
            <w:pPr>
              <w:spacing w:line="560" w:lineRule="exact"/>
              <w:jc w:val="left"/>
            </w:pPr>
            <w:r>
              <w:rPr>
                <w:rFonts w:ascii="仿宋_GB2312" w:hAnsi="仿宋_GB2312" w:eastAsia="仿宋_GB2312" w:cs="仿宋_GB2312"/>
                <w:sz w:val="24"/>
              </w:rPr>
              <w:t>注：此项</w:t>
            </w:r>
            <w:r>
              <w:rPr>
                <w:rFonts w:hint="eastAsia" w:ascii="仿宋_GB2312" w:hAnsi="仿宋_GB2312" w:eastAsia="仿宋_GB2312" w:cs="仿宋_GB2312"/>
                <w:sz w:val="24"/>
              </w:rPr>
              <w:t>以营业执照中经营范围为证明材料。</w:t>
            </w:r>
          </w:p>
        </w:tc>
        <w:tc>
          <w:tcPr>
            <w:tcW w:w="1223" w:type="dxa"/>
            <w:tcBorders>
              <w:top w:val="single" w:color="auto" w:sz="4" w:space="0"/>
            </w:tcBorders>
            <w:noWrap w:val="0"/>
            <w:vAlign w:val="center"/>
          </w:tcPr>
          <w:p w14:paraId="1E005BEB">
            <w:pPr>
              <w:spacing w:line="560" w:lineRule="exact"/>
              <w:jc w:val="center"/>
              <w:rPr>
                <w:rFonts w:hint="eastAsia" w:ascii="仿宋_GB2312" w:hAnsi="Times New Roman" w:eastAsia="仿宋_GB2312"/>
                <w:sz w:val="24"/>
              </w:rPr>
            </w:pPr>
          </w:p>
        </w:tc>
      </w:tr>
      <w:tr w14:paraId="0DAE8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238" w:type="dxa"/>
            <w:noWrap w:val="0"/>
            <w:vAlign w:val="center"/>
          </w:tcPr>
          <w:p w14:paraId="1832FE3C">
            <w:pPr>
              <w:spacing w:line="560" w:lineRule="exact"/>
              <w:jc w:val="center"/>
              <w:rPr>
                <w:rFonts w:hint="eastAsia" w:ascii="仿宋_GB2312" w:hAnsi="宋体" w:eastAsia="仿宋_GB2312"/>
                <w:sz w:val="24"/>
              </w:rPr>
            </w:pPr>
            <w:r>
              <w:rPr>
                <w:rFonts w:hint="eastAsia" w:ascii="仿宋_GB2312" w:hAnsi="宋体" w:eastAsia="仿宋_GB2312"/>
                <w:sz w:val="24"/>
              </w:rPr>
              <w:t>价格部份</w:t>
            </w:r>
          </w:p>
          <w:p w14:paraId="1E3D9438">
            <w:pPr>
              <w:spacing w:line="560" w:lineRule="exact"/>
              <w:jc w:val="center"/>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sz w:val="24"/>
                <w:lang w:val="en-US" w:eastAsia="zh-CN"/>
              </w:rPr>
              <w:t>3</w:t>
            </w:r>
            <w:r>
              <w:rPr>
                <w:rFonts w:hint="eastAsia" w:ascii="仿宋_GB2312" w:hAnsi="宋体" w:eastAsia="仿宋_GB2312"/>
                <w:sz w:val="24"/>
              </w:rPr>
              <w:t>0分）</w:t>
            </w:r>
          </w:p>
        </w:tc>
        <w:tc>
          <w:tcPr>
            <w:tcW w:w="10658" w:type="dxa"/>
            <w:noWrap w:val="0"/>
            <w:vAlign w:val="center"/>
          </w:tcPr>
          <w:p w14:paraId="102C4DBF">
            <w:pPr>
              <w:spacing w:line="56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投报最低价者得分30分，其余投标者价格分数=(最低价/投标价格)×30。</w:t>
            </w:r>
          </w:p>
        </w:tc>
        <w:tc>
          <w:tcPr>
            <w:tcW w:w="1223" w:type="dxa"/>
            <w:noWrap w:val="0"/>
            <w:vAlign w:val="top"/>
          </w:tcPr>
          <w:p w14:paraId="0A77883F">
            <w:pPr>
              <w:spacing w:line="560" w:lineRule="exact"/>
              <w:jc w:val="center"/>
              <w:rPr>
                <w:rFonts w:hint="eastAsia" w:ascii="仿宋_GB2312" w:hAnsi="Times New Roman" w:eastAsia="仿宋_GB2312"/>
                <w:sz w:val="24"/>
              </w:rPr>
            </w:pPr>
          </w:p>
        </w:tc>
      </w:tr>
      <w:tr w14:paraId="6711E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3" w:hRule="atLeast"/>
        </w:trPr>
        <w:tc>
          <w:tcPr>
            <w:tcW w:w="13119" w:type="dxa"/>
            <w:gridSpan w:val="3"/>
            <w:noWrap w:val="0"/>
            <w:vAlign w:val="center"/>
          </w:tcPr>
          <w:p w14:paraId="1C12C292">
            <w:pPr>
              <w:spacing w:line="560" w:lineRule="exact"/>
              <w:rPr>
                <w:rFonts w:hint="eastAsia" w:ascii="仿宋_GB2312" w:hAnsi="Times New Roman" w:eastAsia="仿宋_GB2312"/>
                <w:sz w:val="24"/>
              </w:rPr>
            </w:pPr>
            <w:r>
              <w:rPr>
                <w:rFonts w:hint="eastAsia" w:ascii="仿宋_GB2312" w:hAnsi="仿宋_GB2312" w:eastAsia="仿宋_GB2312" w:cs="仿宋_GB2312"/>
                <w:sz w:val="24"/>
              </w:rPr>
              <w:t>综合评分最高原则上推荐为成交供应商，综合评分相同的以报价低者推荐为成交供应商。</w:t>
            </w:r>
            <w:bookmarkStart w:id="0" w:name="_GoBack"/>
            <w:bookmarkEnd w:id="0"/>
          </w:p>
        </w:tc>
      </w:tr>
      <w:tr w14:paraId="5A6EB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13119" w:type="dxa"/>
            <w:gridSpan w:val="3"/>
            <w:noWrap w:val="0"/>
            <w:vAlign w:val="center"/>
          </w:tcPr>
          <w:p w14:paraId="7E954FDE">
            <w:pPr>
              <w:spacing w:line="560" w:lineRule="exact"/>
              <w:jc w:val="center"/>
              <w:rPr>
                <w:rFonts w:hint="eastAsia" w:ascii="仿宋_GB2312" w:hAnsi="Times New Roman" w:eastAsia="仿宋_GB2312"/>
                <w:sz w:val="24"/>
              </w:rPr>
            </w:pPr>
            <w:r>
              <w:rPr>
                <w:rFonts w:hint="eastAsia" w:ascii="仿宋_GB2312" w:hAnsi="仿宋_GB2312" w:eastAsia="仿宋_GB2312" w:cs="仿宋_GB2312"/>
                <w:sz w:val="24"/>
              </w:rPr>
              <w:t>评标小组会认为投标人的报价明显低于其他通过符合性审查投标人的期价，有可能影响产品质量或者不能诚信履约的，应当要求供应商提供书面说明，必要时提交相关证明材料，投标人不能证明其报价合理性的，评标小组会应当将其作为无效投标处理。</w:t>
            </w:r>
          </w:p>
        </w:tc>
      </w:tr>
    </w:tbl>
    <w:p w14:paraId="62E0EFA7">
      <w:pPr>
        <w:jc w:val="center"/>
        <w:rPr>
          <w:rFonts w:hint="eastAsia" w:ascii="方正小标宋简体" w:hAnsi="方正小标宋简体" w:eastAsia="方正小标宋简体" w:cs="方正小标宋简体"/>
          <w:sz w:val="44"/>
          <w:szCs w:val="4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93BF5"/>
    <w:rsid w:val="2008481B"/>
    <w:rsid w:val="2B393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2025-10-09T02:00:00Z</dcterms:created>
  <dc:creator>511387875832</dc:creator>
  <cp:lastModifiedBy>511387875832</cp:lastModifiedBy>
  <dcterms:modified xsi:type="dcterms:W3CDTF">2025-10-09T02:19:43Z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72F4274472F64DFBA5AF20156AD5F822_11</vt:lpwstr>
  </property>
  <property fmtid="{D5CDD505-2E9C-101B-9397-08002B2CF9AE}" pid="4" name="KSOTemplateDocerSaveRecord">
    <vt:lpwstr>eyJoZGlkIjoiOTkxYjkyNzJhNTQ0NzY0MjAwMWM3YmE1YmJiM2MzYTciLCJ1c2VySWQiOiI5OTA0MTY1In0=</vt:lpwstr>
  </property>
</Properties>
</file>