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4" w:leftChars="16"/>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件</w:t>
      </w:r>
    </w:p>
    <w:p>
      <w:pPr>
        <w:pStyle w:val="2"/>
      </w:pPr>
    </w:p>
    <w:p>
      <w:pPr>
        <w:ind w:left="0"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恩平市农业农村局机关食堂食材配送服务项目采购评分标准</w:t>
      </w:r>
    </w:p>
    <w:p>
      <w:pPr>
        <w:pStyle w:val="2"/>
      </w:pPr>
    </w:p>
    <w:p>
      <w:pPr>
        <w:pStyle w:val="2"/>
      </w:pPr>
    </w:p>
    <w:p>
      <w:pPr>
        <w:spacing w:line="360" w:lineRule="auto"/>
        <w:ind w:left="-420" w:leftChars="-200" w:right="-313" w:rightChars="-149" w:firstLine="640" w:firstLineChars="200"/>
        <w:rPr>
          <w:rFonts w:hint="eastAsia" w:ascii="方正仿宋简体" w:hAnsi="方正仿宋简体" w:eastAsia="方正仿宋简体" w:cs="方正仿宋简体"/>
          <w:sz w:val="32"/>
          <w:szCs w:val="32"/>
          <w:lang w:eastAsia="zh-CN"/>
        </w:rPr>
      </w:pPr>
      <w:r>
        <w:rPr>
          <w:rFonts w:hint="eastAsia" w:ascii="黑体" w:hAnsi="黑体" w:eastAsia="黑体" w:cs="黑体"/>
          <w:b w:val="0"/>
          <w:bCs w:val="0"/>
          <w:sz w:val="32"/>
          <w:szCs w:val="32"/>
        </w:rPr>
        <w:t>一、评分选取方式</w:t>
      </w:r>
    </w:p>
    <w:p>
      <w:pPr>
        <w:keepNext w:val="0"/>
        <w:keepLines w:val="0"/>
        <w:pageBreakBefore w:val="0"/>
        <w:widowControl w:val="0"/>
        <w:kinsoku/>
        <w:wordWrap/>
        <w:overflowPunct/>
        <w:topLinePunct w:val="0"/>
        <w:autoSpaceDE/>
        <w:autoSpaceDN/>
        <w:bidi w:val="0"/>
        <w:adjustRightInd/>
        <w:snapToGrid/>
        <w:spacing w:line="640" w:lineRule="exact"/>
        <w:ind w:left="-420" w:leftChars="-200" w:right="-313" w:rightChars="-149"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本次采购采用综合选取的方式确定中选单位。由局小额项目承（发）包工作组先对报名单位进行初步评审；然后对满足初步评审要求的单位，按照详细评审规定的评分标准进行打分。</w:t>
      </w:r>
    </w:p>
    <w:p>
      <w:pPr>
        <w:keepNext w:val="0"/>
        <w:keepLines w:val="0"/>
        <w:pageBreakBefore w:val="0"/>
        <w:widowControl w:val="0"/>
        <w:kinsoku/>
        <w:wordWrap/>
        <w:overflowPunct/>
        <w:topLinePunct w:val="0"/>
        <w:autoSpaceDE/>
        <w:autoSpaceDN/>
        <w:bidi w:val="0"/>
        <w:adjustRightInd/>
        <w:snapToGrid/>
        <w:spacing w:line="640" w:lineRule="exact"/>
        <w:ind w:left="-420" w:leftChars="-200" w:right="-313" w:rightChars="-149" w:firstLine="640" w:firstLineChars="200"/>
        <w:textAlignment w:val="auto"/>
        <w:rPr>
          <w:rFonts w:hint="eastAsia" w:ascii="宋体" w:hAnsi="宋体" w:cs="宋体"/>
          <w:sz w:val="28"/>
          <w:szCs w:val="28"/>
          <w:lang w:eastAsia="zh-CN"/>
        </w:rPr>
      </w:pPr>
      <w:r>
        <w:rPr>
          <w:rFonts w:hint="eastAsia" w:ascii="方正仿宋简体" w:hAnsi="方正仿宋简体" w:eastAsia="方正仿宋简体" w:cs="方正仿宋简体"/>
          <w:sz w:val="32"/>
          <w:szCs w:val="32"/>
          <w:lang w:eastAsia="zh-CN"/>
        </w:rPr>
        <w:t>局小额项目承（发）包工作组</w:t>
      </w:r>
      <w:bookmarkStart w:id="0" w:name="OLE_LINK2"/>
      <w:r>
        <w:rPr>
          <w:rFonts w:hint="eastAsia" w:ascii="方正仿宋简体" w:hAnsi="方正仿宋简体" w:eastAsia="方正仿宋简体" w:cs="方正仿宋简体"/>
          <w:sz w:val="32"/>
          <w:szCs w:val="32"/>
          <w:lang w:eastAsia="zh-CN"/>
        </w:rPr>
        <w:t>成员</w:t>
      </w:r>
      <w:bookmarkEnd w:id="0"/>
      <w:r>
        <w:rPr>
          <w:rFonts w:hint="eastAsia" w:ascii="方正仿宋简体" w:hAnsi="方正仿宋简体" w:eastAsia="方正仿宋简体" w:cs="方正仿宋简体"/>
          <w:sz w:val="32"/>
          <w:szCs w:val="32"/>
          <w:lang w:eastAsia="zh-CN"/>
        </w:rPr>
        <w:t>对照详细评审中各评审项目对报名单位进行评分，取各成员评分的平均值作为该单位的得分，并按得分由高到低顺序推荐中选单位。（说明：如报名单位只有1家，则需满足初步审查各项审查标准，再根据详细评审的各评审项目进行评分，得分60分以上可推荐为中选单位；如报名单位1家以上，满足初步审查各项审查标准，再按详细评审的各评审项目进行综合评分，</w:t>
      </w:r>
      <w:r>
        <w:rPr>
          <w:rFonts w:hint="eastAsia" w:ascii="方正仿宋简体" w:hAnsi="方正仿宋简体" w:eastAsia="方正仿宋简体" w:cs="方正仿宋简体"/>
          <w:sz w:val="32"/>
          <w:szCs w:val="32"/>
          <w:lang w:val="en-US" w:eastAsia="zh-CN"/>
        </w:rPr>
        <w:t>综合评分</w:t>
      </w:r>
      <w:r>
        <w:rPr>
          <w:rFonts w:hint="eastAsia" w:ascii="方正仿宋简体" w:hAnsi="方正仿宋简体" w:eastAsia="方正仿宋简体" w:cs="方正仿宋简体"/>
          <w:sz w:val="32"/>
          <w:szCs w:val="32"/>
          <w:lang w:eastAsia="zh-CN"/>
        </w:rPr>
        <w:t>由高到低顺序推荐中选单位。</w:t>
      </w:r>
      <w:r>
        <w:rPr>
          <w:rFonts w:hint="eastAsia" w:ascii="方正仿宋简体" w:hAnsi="方正仿宋简体" w:eastAsia="方正仿宋简体" w:cs="方正仿宋简体"/>
          <w:sz w:val="32"/>
          <w:szCs w:val="32"/>
          <w:lang w:val="en-US" w:eastAsia="zh-CN"/>
        </w:rPr>
        <w:t>综合</w:t>
      </w:r>
      <w:r>
        <w:rPr>
          <w:rFonts w:hint="eastAsia" w:ascii="方正仿宋简体" w:hAnsi="方正仿宋简体" w:eastAsia="方正仿宋简体" w:cs="方正仿宋简体"/>
          <w:sz w:val="32"/>
          <w:szCs w:val="32"/>
          <w:lang w:eastAsia="zh-CN"/>
        </w:rPr>
        <w:t>评分相等时，局小额项目承（发）包工作组视报名单位的情况综合比较，投票确定其名次。）</w:t>
      </w:r>
    </w:p>
    <w:p>
      <w:pPr>
        <w:pStyle w:val="2"/>
        <w:rPr>
          <w:rFonts w:hint="eastAsia" w:ascii="宋体" w:hAnsi="宋体" w:cs="宋体"/>
          <w:sz w:val="28"/>
          <w:szCs w:val="28"/>
          <w:lang w:eastAsia="zh-CN"/>
        </w:rPr>
      </w:pPr>
    </w:p>
    <w:p>
      <w:pPr>
        <w:pStyle w:val="2"/>
        <w:rPr>
          <w:rFonts w:hint="eastAsia" w:ascii="宋体" w:hAnsi="宋体" w:cs="宋体"/>
          <w:sz w:val="28"/>
          <w:szCs w:val="28"/>
          <w:lang w:eastAsia="zh-CN"/>
        </w:rPr>
      </w:pPr>
    </w:p>
    <w:p>
      <w:pPr>
        <w:spacing w:line="579" w:lineRule="exact"/>
        <w:ind w:left="0" w:leftChars="0" w:right="-313" w:rightChars="-149" w:firstLine="0" w:firstLineChars="0"/>
        <w:rPr>
          <w:rFonts w:hint="eastAsia" w:ascii="宋体" w:hAnsi="宋体" w:cs="宋体"/>
          <w:sz w:val="28"/>
          <w:szCs w:val="28"/>
          <w:lang w:eastAsia="zh-CN"/>
        </w:rPr>
      </w:pPr>
    </w:p>
    <w:p>
      <w:pPr>
        <w:spacing w:line="579" w:lineRule="exact"/>
        <w:ind w:left="0" w:leftChars="0" w:right="-313" w:rightChars="-149" w:firstLine="0" w:firstLineChars="0"/>
        <w:rPr>
          <w:rFonts w:hint="eastAsia" w:ascii="宋体" w:hAnsi="宋体" w:cs="宋体"/>
          <w:sz w:val="28"/>
          <w:szCs w:val="28"/>
          <w:lang w:eastAsia="zh-CN"/>
        </w:rPr>
      </w:pPr>
    </w:p>
    <w:p>
      <w:pPr>
        <w:spacing w:line="360" w:lineRule="auto"/>
        <w:ind w:left="-420" w:leftChars="-200" w:right="-313" w:rightChars="-149" w:firstLine="640" w:firstLineChars="200"/>
        <w:rPr>
          <w:rFonts w:hint="eastAsia" w:ascii="黑体" w:hAnsi="黑体" w:eastAsia="黑体" w:cs="黑体"/>
          <w:b w:val="0"/>
          <w:bCs w:val="0"/>
          <w:sz w:val="32"/>
          <w:szCs w:val="32"/>
        </w:rPr>
      </w:pPr>
      <w:r>
        <w:rPr>
          <w:rFonts w:hint="eastAsia" w:ascii="黑体" w:hAnsi="黑体" w:eastAsia="黑体" w:cs="黑体"/>
          <w:sz w:val="32"/>
          <w:szCs w:val="32"/>
          <w:lang w:eastAsia="zh-CN"/>
        </w:rPr>
        <w:t>二、</w:t>
      </w:r>
      <w:r>
        <w:rPr>
          <w:rFonts w:hint="eastAsia" w:ascii="黑体" w:hAnsi="黑体" w:eastAsia="黑体" w:cs="黑体"/>
          <w:b w:val="0"/>
          <w:bCs w:val="0"/>
          <w:sz w:val="32"/>
          <w:szCs w:val="32"/>
        </w:rPr>
        <w:t>初步审查</w:t>
      </w:r>
    </w:p>
    <w:tbl>
      <w:tblPr>
        <w:tblStyle w:val="7"/>
        <w:tblW w:w="9719" w:type="dxa"/>
        <w:jc w:val="center"/>
        <w:tblLayout w:type="fixed"/>
        <w:tblCellMar>
          <w:top w:w="0" w:type="dxa"/>
          <w:left w:w="108" w:type="dxa"/>
          <w:bottom w:w="67" w:type="dxa"/>
          <w:right w:w="0" w:type="dxa"/>
        </w:tblCellMar>
      </w:tblPr>
      <w:tblGrid>
        <w:gridCol w:w="1980"/>
        <w:gridCol w:w="7739"/>
      </w:tblGrid>
      <w:tr>
        <w:tblPrEx>
          <w:tblCellMar>
            <w:top w:w="0" w:type="dxa"/>
            <w:left w:w="108" w:type="dxa"/>
            <w:bottom w:w="67" w:type="dxa"/>
            <w:right w:w="0" w:type="dxa"/>
          </w:tblCellMar>
        </w:tblPrEx>
        <w:trPr>
          <w:trHeight w:val="1117" w:hRule="atLeast"/>
          <w:tblHeader/>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109"/>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审查项目</w:t>
            </w:r>
          </w:p>
        </w:tc>
        <w:tc>
          <w:tcPr>
            <w:tcW w:w="7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107"/>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审查标准</w:t>
            </w:r>
          </w:p>
        </w:tc>
      </w:tr>
      <w:tr>
        <w:tblPrEx>
          <w:tblCellMar>
            <w:top w:w="0" w:type="dxa"/>
            <w:left w:w="108" w:type="dxa"/>
            <w:bottom w:w="67" w:type="dxa"/>
            <w:right w:w="0" w:type="dxa"/>
          </w:tblCellMar>
        </w:tblPrEx>
        <w:trPr>
          <w:trHeight w:val="11212"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pStyle w:val="6"/>
              <w:shd w:val="clear" w:color="auto" w:fill="FFFFFF"/>
              <w:spacing w:before="0" w:beforeAutospacing="0" w:after="0" w:afterAutospacing="0" w:line="720" w:lineRule="atLeast"/>
              <w:jc w:val="center"/>
              <w:textAlignment w:val="baseline"/>
              <w:rPr>
                <w:rFonts w:ascii="仿宋" w:hAnsi="仿宋" w:eastAsia="仿宋" w:cs="Times New Roman"/>
                <w:color w:val="000000"/>
                <w:sz w:val="28"/>
                <w:szCs w:val="28"/>
              </w:rPr>
            </w:pPr>
            <w:r>
              <w:rPr>
                <w:rStyle w:val="9"/>
                <w:rFonts w:ascii="仿宋" w:hAnsi="仿宋" w:eastAsia="仿宋" w:cs="Times New Roman"/>
                <w:sz w:val="28"/>
                <w:szCs w:val="28"/>
              </w:rPr>
              <w:t>资格性审查</w:t>
            </w:r>
          </w:p>
        </w:tc>
        <w:tc>
          <w:tcPr>
            <w:tcW w:w="77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1.符合《中华人民共和国政府采购法》第二十二条和《中华人民共和国政府采购法实施条例》第十七条的规定；</w:t>
            </w:r>
          </w:p>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2.有经年检合格的营业执照和有效的食品经营许可；</w:t>
            </w:r>
          </w:p>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3.具有独立承担民事责任能力的在中华人民共和国境内注册的法人；</w:t>
            </w:r>
          </w:p>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hint="eastAsia" w:ascii="方正仿宋简体" w:hAnsi="方正仿宋简体" w:eastAsia="方正仿宋简体" w:cs="方正仿宋简体"/>
                <w:color w:val="000000"/>
                <w:kern w:val="0"/>
                <w:sz w:val="28"/>
                <w:szCs w:val="28"/>
                <w:highlight w:val="none"/>
              </w:rPr>
            </w:pPr>
            <w:r>
              <w:rPr>
                <w:rFonts w:hint="eastAsia" w:ascii="方正仿宋简体" w:hAnsi="方正仿宋简体" w:eastAsia="方正仿宋简体" w:cs="方正仿宋简体"/>
                <w:color w:val="000000"/>
                <w:kern w:val="0"/>
                <w:sz w:val="28"/>
                <w:szCs w:val="28"/>
              </w:rPr>
              <w:t>4.近三年内</w:t>
            </w:r>
            <w:r>
              <w:rPr>
                <w:rFonts w:hint="eastAsia" w:ascii="方正仿宋简体" w:hAnsi="方正仿宋简体" w:eastAsia="方正仿宋简体" w:cs="方正仿宋简体"/>
                <w:color w:val="000000"/>
                <w:kern w:val="0"/>
                <w:sz w:val="28"/>
                <w:szCs w:val="28"/>
                <w:highlight w:val="none"/>
              </w:rPr>
              <w:t>未被列入“信用中国”网站(www.creditchina.gov.cn)“记录失信被执行人或重大税收违法案件当事人名单或政府采购严重违法失信行为”记录名单；不处于中国政府采购网(www.ccgp.gov.cn)“政府采</w:t>
            </w:r>
            <w:bookmarkStart w:id="2" w:name="_GoBack"/>
            <w:bookmarkEnd w:id="2"/>
            <w:r>
              <w:rPr>
                <w:rFonts w:hint="eastAsia" w:ascii="方正仿宋简体" w:hAnsi="方正仿宋简体" w:eastAsia="方正仿宋简体" w:cs="方正仿宋简体"/>
                <w:color w:val="000000"/>
                <w:kern w:val="0"/>
                <w:sz w:val="28"/>
                <w:szCs w:val="28"/>
                <w:highlight w:val="none"/>
              </w:rPr>
              <w:t>购严重违法失信行为信息记录”中的禁止参加政府采购活动期间，无受到政府采购行政处罚且相关信用惩戒期限未满情形；</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000000"/>
                <w:kern w:val="0"/>
                <w:sz w:val="28"/>
                <w:szCs w:val="28"/>
                <w:highlight w:val="none"/>
                <w:lang w:val="en-US" w:eastAsia="zh-CN" w:bidi="ar-SA"/>
              </w:rPr>
            </w:pPr>
            <w:r>
              <w:rPr>
                <w:rFonts w:hint="eastAsia" w:ascii="方正仿宋简体" w:hAnsi="方正仿宋简体" w:eastAsia="方正仿宋简体" w:cs="方正仿宋简体"/>
                <w:color w:val="000000"/>
                <w:kern w:val="0"/>
                <w:sz w:val="28"/>
                <w:szCs w:val="28"/>
                <w:highlight w:val="none"/>
                <w:lang w:val="en-US" w:eastAsia="zh-CN" w:bidi="ar-SA"/>
              </w:rPr>
              <w:t>5.服务单位必须具有良好的商业信誉和健全的财务会计制度；</w:t>
            </w:r>
          </w:p>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lang w:val="en-US" w:eastAsia="zh-CN"/>
              </w:rPr>
              <w:t>6</w:t>
            </w:r>
            <w:r>
              <w:rPr>
                <w:rFonts w:hint="eastAsia" w:ascii="方正仿宋简体" w:hAnsi="方正仿宋简体" w:eastAsia="方正仿宋简体" w:cs="方正仿宋简体"/>
                <w:color w:val="000000"/>
                <w:sz w:val="28"/>
                <w:szCs w:val="28"/>
                <w:highlight w:val="none"/>
              </w:rPr>
              <w:t>.</w:t>
            </w:r>
            <w:r>
              <w:rPr>
                <w:rFonts w:hint="eastAsia" w:ascii="方正仿宋简体" w:hAnsi="方正仿宋简体" w:eastAsia="方正仿宋简体" w:cs="方正仿宋简体"/>
                <w:kern w:val="2"/>
                <w:sz w:val="28"/>
                <w:szCs w:val="28"/>
                <w:highlight w:val="none"/>
              </w:rPr>
              <w:t xml:space="preserve"> </w:t>
            </w:r>
            <w:r>
              <w:rPr>
                <w:rFonts w:hint="eastAsia" w:ascii="方正仿宋简体" w:hAnsi="方正仿宋简体" w:eastAsia="方正仿宋简体" w:cs="方正仿宋简体"/>
                <w:color w:val="000000"/>
                <w:sz w:val="28"/>
                <w:szCs w:val="28"/>
                <w:highlight w:val="none"/>
              </w:rPr>
              <w:t>提供截止日前6个月内任意1个月依法缴纳税收和社会保障资金的相关材料。 如依法免税或不需要缴纳社会保障资金的， 提供相应证明材料</w:t>
            </w:r>
            <w:r>
              <w:rPr>
                <w:rFonts w:hint="eastAsia" w:ascii="方正仿宋简体" w:hAnsi="方正仿宋简体" w:eastAsia="方正仿宋简体" w:cs="方正仿宋简体"/>
                <w:color w:val="000000"/>
                <w:sz w:val="28"/>
                <w:szCs w:val="28"/>
                <w:highlight w:val="none"/>
                <w:lang w:eastAsia="zh-CN"/>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val="en-US" w:eastAsia="zh-CN"/>
              </w:rPr>
              <w:t>7</w:t>
            </w:r>
            <w:r>
              <w:rPr>
                <w:rFonts w:hint="eastAsia" w:ascii="方正仿宋简体" w:hAnsi="方正仿宋简体" w:eastAsia="方正仿宋简体" w:cs="方正仿宋简体"/>
                <w:color w:val="000000"/>
                <w:sz w:val="28"/>
                <w:szCs w:val="28"/>
              </w:rPr>
              <w:t>.所有参与配送的人员必须具备健康证明，提供健康证复印件</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ascii="仿宋" w:hAnsi="仿宋" w:eastAsia="仿宋" w:cs="Times New Roman"/>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8</w:t>
            </w:r>
            <w:r>
              <w:rPr>
                <w:rFonts w:hint="eastAsia" w:ascii="方正仿宋简体" w:hAnsi="方正仿宋简体" w:eastAsia="方正仿宋简体" w:cs="方正仿宋简体"/>
                <w:color w:val="000000"/>
                <w:kern w:val="0"/>
                <w:sz w:val="28"/>
                <w:szCs w:val="28"/>
              </w:rPr>
              <w:t>.本项目不接受联合体</w:t>
            </w:r>
            <w:r>
              <w:rPr>
                <w:rFonts w:hint="eastAsia" w:ascii="方正仿宋简体" w:hAnsi="方正仿宋简体" w:eastAsia="方正仿宋简体" w:cs="方正仿宋简体"/>
                <w:color w:val="000000"/>
                <w:kern w:val="0"/>
                <w:sz w:val="28"/>
                <w:szCs w:val="28"/>
                <w:lang w:eastAsia="zh-CN"/>
              </w:rPr>
              <w:t>服务单位</w:t>
            </w:r>
            <w:r>
              <w:rPr>
                <w:rFonts w:hint="eastAsia" w:ascii="方正仿宋简体" w:hAnsi="方正仿宋简体" w:eastAsia="方正仿宋简体" w:cs="方正仿宋简体"/>
                <w:color w:val="000000"/>
                <w:kern w:val="0"/>
                <w:sz w:val="28"/>
                <w:szCs w:val="28"/>
              </w:rPr>
              <w:t>投标；不允许转包、分包。</w:t>
            </w:r>
          </w:p>
        </w:tc>
      </w:tr>
    </w:tbl>
    <w:p>
      <w:pPr>
        <w:spacing w:line="579" w:lineRule="exact"/>
        <w:ind w:left="-420" w:leftChars="-200" w:right="-313" w:rightChars="-149" w:firstLine="560" w:firstLineChars="200"/>
        <w:rPr>
          <w:rFonts w:hint="eastAsia" w:ascii="黑体" w:hAnsi="黑体" w:eastAsia="黑体" w:cs="黑体"/>
          <w:b w:val="0"/>
          <w:bCs w:val="0"/>
          <w:sz w:val="28"/>
          <w:szCs w:val="28"/>
        </w:rPr>
      </w:pPr>
    </w:p>
    <w:p>
      <w:pPr>
        <w:numPr>
          <w:ilvl w:val="0"/>
          <w:numId w:val="1"/>
        </w:numPr>
        <w:spacing w:line="579" w:lineRule="exact"/>
        <w:ind w:left="-420" w:leftChars="-200" w:right="-313" w:rightChars="-149"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详细评审</w:t>
      </w:r>
    </w:p>
    <w:tbl>
      <w:tblPr>
        <w:tblStyle w:val="7"/>
        <w:tblW w:w="86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37"/>
        <w:gridCol w:w="905"/>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序号</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评审项目</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分值</w:t>
            </w:r>
          </w:p>
        </w:tc>
        <w:tc>
          <w:tcPr>
            <w:tcW w:w="6239" w:type="dxa"/>
            <w:tcBorders>
              <w:top w:val="single" w:color="auto" w:sz="4" w:space="0"/>
              <w:left w:val="single" w:color="auto" w:sz="4" w:space="0"/>
              <w:right w:val="single" w:color="auto" w:sz="4" w:space="0"/>
            </w:tcBorders>
            <w:vAlign w:val="center"/>
          </w:tcPr>
          <w:p>
            <w:pPr>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bCs/>
                <w:color w:val="00000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Cs/>
                <w:color w:val="000000"/>
                <w:sz w:val="28"/>
                <w:szCs w:val="28"/>
              </w:rPr>
            </w:pPr>
            <w:r>
              <w:rPr>
                <w:rFonts w:hint="eastAsia" w:ascii="方正仿宋简体" w:hAnsi="方正仿宋简体" w:eastAsia="方正仿宋简体" w:cs="方正仿宋简体"/>
                <w:bCs/>
                <w:color w:val="000000"/>
                <w:sz w:val="28"/>
                <w:szCs w:val="28"/>
              </w:rPr>
              <w:t>1</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配送方案</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15</w:t>
            </w:r>
          </w:p>
        </w:tc>
        <w:tc>
          <w:tcPr>
            <w:tcW w:w="623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对</w:t>
            </w:r>
            <w:r>
              <w:rPr>
                <w:rFonts w:hint="eastAsia" w:ascii="方正仿宋简体" w:hAnsi="方正仿宋简体" w:eastAsia="方正仿宋简体" w:cs="方正仿宋简体"/>
                <w:color w:val="000000"/>
                <w:sz w:val="28"/>
                <w:szCs w:val="28"/>
              </w:rPr>
              <w:t>本项目配送服务方案（包括但不限于商品来源、采购渠道、物流配送方案及各种规章制度等）进行评审:</w:t>
            </w:r>
          </w:p>
          <w:p>
            <w:pPr>
              <w:keepNext w:val="0"/>
              <w:keepLines w:val="0"/>
              <w:pageBreakBefore w:val="0"/>
              <w:widowControl/>
              <w:numPr>
                <w:ilvl w:val="-1"/>
                <w:numId w:val="0"/>
              </w:numPr>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val="en-US" w:eastAsia="zh-CN"/>
              </w:rPr>
              <w:t>1.</w:t>
            </w:r>
            <w:r>
              <w:rPr>
                <w:rFonts w:hint="eastAsia" w:ascii="方正仿宋简体" w:hAnsi="方正仿宋简体" w:eastAsia="方正仿宋简体" w:cs="方正仿宋简体"/>
                <w:color w:val="000000"/>
                <w:sz w:val="28"/>
                <w:szCs w:val="28"/>
              </w:rPr>
              <w:t>配送服务实施方案完整齐全、科学合理、可行性强，得15分</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val="en-US" w:eastAsia="zh-CN"/>
              </w:rPr>
              <w:t>2.</w:t>
            </w:r>
            <w:r>
              <w:rPr>
                <w:rFonts w:hint="eastAsia" w:ascii="方正仿宋简体" w:hAnsi="方正仿宋简体" w:eastAsia="方正仿宋简体" w:cs="方正仿宋简体"/>
                <w:color w:val="000000"/>
                <w:sz w:val="28"/>
                <w:szCs w:val="28"/>
              </w:rPr>
              <w:t>配送服务实施方案完整、科学合理、可行性较强，得10分</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rPr>
              <w:t>3.配送服务实施方案完整、科学合理、可行性一般，得5分</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5" w:hRule="atLeast"/>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2</w:t>
            </w:r>
          </w:p>
        </w:tc>
        <w:tc>
          <w:tcPr>
            <w:tcW w:w="93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服务实施方案</w:t>
            </w:r>
          </w:p>
        </w:tc>
        <w:tc>
          <w:tcPr>
            <w:tcW w:w="9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15</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对本项目</w:t>
            </w:r>
            <w:r>
              <w:rPr>
                <w:rFonts w:hint="eastAsia" w:ascii="方正仿宋简体" w:hAnsi="方正仿宋简体" w:eastAsia="方正仿宋简体" w:cs="方正仿宋简体"/>
                <w:color w:val="000000"/>
                <w:sz w:val="28"/>
                <w:szCs w:val="28"/>
                <w:lang w:eastAsia="zh-CN"/>
              </w:rPr>
              <w:t>服务</w:t>
            </w:r>
            <w:r>
              <w:rPr>
                <w:rFonts w:hint="eastAsia" w:ascii="方正仿宋简体" w:hAnsi="方正仿宋简体" w:eastAsia="方正仿宋简体" w:cs="方正仿宋简体"/>
                <w:color w:val="000000"/>
                <w:sz w:val="28"/>
                <w:szCs w:val="28"/>
              </w:rPr>
              <w:t>需求是否理解清晰</w:t>
            </w:r>
            <w:r>
              <w:rPr>
                <w:rFonts w:hint="eastAsia" w:ascii="方正仿宋简体" w:hAnsi="方正仿宋简体" w:eastAsia="方正仿宋简体" w:cs="方正仿宋简体"/>
                <w:color w:val="000000"/>
                <w:sz w:val="28"/>
                <w:szCs w:val="28"/>
                <w:lang w:eastAsia="zh-CN"/>
              </w:rPr>
              <w:t>、</w:t>
            </w:r>
            <w:r>
              <w:rPr>
                <w:rFonts w:hint="eastAsia" w:ascii="方正仿宋简体" w:hAnsi="方正仿宋简体" w:eastAsia="方正仿宋简体" w:cs="方正仿宋简体"/>
                <w:color w:val="000000"/>
                <w:sz w:val="28"/>
                <w:szCs w:val="28"/>
              </w:rPr>
              <w:t>工作岗位职责、运作流程与食品安全措施是否科学、全面、合理进行评审：</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w:t>
            </w:r>
            <w:bookmarkStart w:id="1" w:name="OLE_LINK1"/>
            <w:r>
              <w:rPr>
                <w:rFonts w:hint="eastAsia" w:ascii="方正仿宋简体" w:hAnsi="方正仿宋简体" w:eastAsia="方正仿宋简体" w:cs="方正仿宋简体"/>
                <w:color w:val="000000"/>
                <w:sz w:val="28"/>
                <w:szCs w:val="28"/>
              </w:rPr>
              <w:t>方</w:t>
            </w:r>
            <w:bookmarkEnd w:id="1"/>
            <w:r>
              <w:rPr>
                <w:rFonts w:hint="eastAsia" w:ascii="方正仿宋简体" w:hAnsi="方正仿宋简体" w:eastAsia="方正仿宋简体" w:cs="方正仿宋简体"/>
                <w:color w:val="000000"/>
                <w:sz w:val="28"/>
                <w:szCs w:val="28"/>
              </w:rPr>
              <w:t>案可行性高，科学、全面、合理及完全满足本项目要求，得15分；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2.方案可行性较高，科学、较全面、较合理，较满足本项目要求，得10分；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3.方案可行性一般，基本满足本项目要求，得5分；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4.方案可行性差，不全面、不合理、不满足本项目要求，得1分；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5.无提供方案不得分。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5" w:hRule="atLeast"/>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3</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应急方案</w:t>
            </w:r>
          </w:p>
        </w:tc>
        <w:tc>
          <w:tcPr>
            <w:tcW w:w="9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15</w:t>
            </w:r>
          </w:p>
        </w:tc>
        <w:tc>
          <w:tcPr>
            <w:tcW w:w="62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 xml:space="preserve">对台风、暴雨等天气影响，紧急用餐，重大节假日活动或不可预见情形等特殊情况制定的应急供餐及食材配送应急方案内容进行评审： </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1.应急方案详尽完整、传达机制快速有效、人力物力调配合理、责任分工明确、可行性强，得15分；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2.应急方案基本完整、传达机制比较快速有效、人力物力调配比较合理、责任分工比较明确、可行性较强，得10分；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3.应急方案有待完善、传达机制欠妥、人力物力调配计划欠妥、责任分工不明确、基本可行性，得5分；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rPr>
              <w:t>4.应急方案不完整、传达机制时效低、人力物力调配计划差、不具备可行性，得1分</w:t>
            </w:r>
            <w:r>
              <w:rPr>
                <w:rFonts w:hint="eastAsia" w:ascii="方正仿宋简体" w:hAnsi="方正仿宋简体" w:eastAsia="方正仿宋简体" w:cs="方正仿宋简体"/>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2"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w:t>
            </w:r>
          </w:p>
        </w:tc>
        <w:tc>
          <w:tcPr>
            <w:tcW w:w="937" w:type="dxa"/>
            <w:tcBorders>
              <w:left w:val="single" w:color="auto" w:sz="4" w:space="0"/>
              <w:right w:val="single" w:color="auto" w:sz="4" w:space="0"/>
            </w:tcBorders>
            <w:vAlign w:val="center"/>
          </w:tcPr>
          <w:p>
            <w:pPr>
              <w:keepNext w:val="0"/>
              <w:keepLines w:val="0"/>
              <w:pageBreakBefore w:val="0"/>
              <w:widowControl w:val="0"/>
              <w:tabs>
                <w:tab w:val="left" w:pos="1302"/>
              </w:tabs>
              <w:kinsoku/>
              <w:wordWrap/>
              <w:overflowPunct/>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售后服务方案</w:t>
            </w:r>
          </w:p>
        </w:tc>
        <w:tc>
          <w:tcPr>
            <w:tcW w:w="905" w:type="dxa"/>
            <w:tcBorders>
              <w:top w:val="single" w:color="auto" w:sz="4" w:space="0"/>
              <w:left w:val="single" w:color="auto" w:sz="4" w:space="0"/>
              <w:bottom w:val="single" w:color="auto" w:sz="4" w:space="0"/>
              <w:right w:val="single" w:color="auto" w:sz="4" w:space="0"/>
            </w:tcBorders>
            <w:vAlign w:val="center"/>
          </w:tcPr>
          <w:p>
            <w:pPr>
              <w:spacing w:line="240" w:lineRule="exact"/>
              <w:ind w:left="113" w:right="113"/>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10</w:t>
            </w:r>
          </w:p>
        </w:tc>
        <w:tc>
          <w:tcPr>
            <w:tcW w:w="62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对本项目制定的售后服务方案，包括但不限于服务承诺、出现产品质量问题退换货方案、退换货流程等进行评审：</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1.售后服务方案完善、完整齐全，可行性强的，得10分；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2.</w:t>
            </w:r>
            <w:r>
              <w:rPr>
                <w:rFonts w:hint="eastAsia" w:ascii="方正仿宋简体" w:hAnsi="方正仿宋简体" w:eastAsia="方正仿宋简体" w:cs="方正仿宋简体"/>
                <w:color w:val="000000"/>
                <w:sz w:val="28"/>
                <w:szCs w:val="28"/>
              </w:rPr>
              <w:t>售后服务方案基本完善、基本完整齐全，有一定可行性的，得7分；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3.</w:t>
            </w:r>
            <w:r>
              <w:rPr>
                <w:rFonts w:hint="eastAsia" w:ascii="方正仿宋简体" w:hAnsi="方正仿宋简体" w:eastAsia="方正仿宋简体" w:cs="方正仿宋简体"/>
                <w:color w:val="000000"/>
                <w:sz w:val="28"/>
                <w:szCs w:val="28"/>
              </w:rPr>
              <w:t>售后服务方案一般完善、一般完整齐全，可行性一般的，得3分；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4.</w:t>
            </w:r>
            <w:r>
              <w:rPr>
                <w:rFonts w:hint="eastAsia" w:ascii="方正仿宋简体" w:hAnsi="方正仿宋简体" w:eastAsia="方正仿宋简体" w:cs="方正仿宋简体"/>
                <w:color w:val="000000"/>
                <w:sz w:val="28"/>
                <w:szCs w:val="28"/>
              </w:rPr>
              <w:t>售后服务方案不完善、不完整齐全，可行性不强的，得1分；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5.</w:t>
            </w:r>
            <w:r>
              <w:rPr>
                <w:rFonts w:hint="eastAsia" w:ascii="方正仿宋简体" w:hAnsi="方正仿宋简体" w:eastAsia="方正仿宋简体" w:cs="方正仿宋简体"/>
                <w:color w:val="000000"/>
                <w:sz w:val="28"/>
                <w:szCs w:val="28"/>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6"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5</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投入主要管理、服务人员情况</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10</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对</w:t>
            </w:r>
            <w:r>
              <w:rPr>
                <w:rFonts w:hint="eastAsia" w:ascii="方正仿宋简体" w:hAnsi="方正仿宋简体" w:eastAsia="方正仿宋简体" w:cs="方正仿宋简体"/>
                <w:color w:val="000000"/>
                <w:sz w:val="28"/>
                <w:szCs w:val="28"/>
              </w:rPr>
              <w:t>投入主要管理、服务人员情况，包括人员组织架构是否合理、岗位设置分工是否科学、可行，以及是否满足</w:t>
            </w:r>
            <w:r>
              <w:rPr>
                <w:rFonts w:hint="eastAsia" w:ascii="方正仿宋简体" w:hAnsi="方正仿宋简体" w:eastAsia="方正仿宋简体" w:cs="方正仿宋简体"/>
                <w:color w:val="000000"/>
                <w:sz w:val="28"/>
                <w:szCs w:val="28"/>
                <w:lang w:eastAsia="zh-CN"/>
              </w:rPr>
              <w:t>本</w:t>
            </w:r>
            <w:r>
              <w:rPr>
                <w:rFonts w:hint="eastAsia" w:ascii="方正仿宋简体" w:hAnsi="方正仿宋简体" w:eastAsia="方正仿宋简体" w:cs="方正仿宋简体"/>
                <w:color w:val="000000"/>
                <w:sz w:val="28"/>
                <w:szCs w:val="28"/>
              </w:rPr>
              <w:t>项目实际需求等进行评审：</w:t>
            </w:r>
          </w:p>
          <w:p>
            <w:pPr>
              <w:keepNext w:val="0"/>
              <w:keepLines w:val="0"/>
              <w:pageBreakBefore w:val="0"/>
              <w:widowControl/>
              <w:numPr>
                <w:ilvl w:val="-1"/>
                <w:numId w:val="0"/>
              </w:numPr>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1.</w:t>
            </w:r>
            <w:r>
              <w:rPr>
                <w:rFonts w:hint="eastAsia" w:ascii="方正仿宋简体" w:hAnsi="方正仿宋简体" w:eastAsia="方正仿宋简体" w:cs="方正仿宋简体"/>
                <w:color w:val="000000"/>
                <w:sz w:val="28"/>
                <w:szCs w:val="28"/>
              </w:rPr>
              <w:t xml:space="preserve">人员组织架构合理，岗位设置分工科学、可行、合理的，得10分； </w:t>
            </w:r>
          </w:p>
          <w:p>
            <w:pPr>
              <w:keepNext w:val="0"/>
              <w:keepLines w:val="0"/>
              <w:pageBreakBefore w:val="0"/>
              <w:widowControl/>
              <w:numPr>
                <w:ilvl w:val="-1"/>
                <w:numId w:val="0"/>
              </w:numPr>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2.</w:t>
            </w:r>
            <w:r>
              <w:rPr>
                <w:rFonts w:hint="eastAsia" w:ascii="方正仿宋简体" w:hAnsi="方正仿宋简体" w:eastAsia="方正仿宋简体" w:cs="方正仿宋简体"/>
                <w:color w:val="000000"/>
                <w:sz w:val="28"/>
                <w:szCs w:val="28"/>
              </w:rPr>
              <w:t xml:space="preserve">人员组织架构及岗位设置分工一般的，得5分； </w:t>
            </w:r>
          </w:p>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rPr>
              <w:t>3.人员组织架构及岗位设置分工较差的，得2分</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6</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食品安全险</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10</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提供有效期内的食品安全责任保险协议：协议保额≥1000万，得10分；500万≤协议保额&lt;1000万，5分；协议保额低于500万，得2分；不提供不得分。</w:t>
            </w:r>
          </w:p>
          <w:p>
            <w:pPr>
              <w:keepNext w:val="0"/>
              <w:keepLines w:val="0"/>
              <w:pageBreakBefore w:val="0"/>
              <w:widowControl/>
              <w:kinsoku/>
              <w:wordWrap/>
              <w:overflowPunct/>
              <w:topLinePunct w:val="0"/>
              <w:autoSpaceDE/>
              <w:autoSpaceDN/>
              <w:bidi w:val="0"/>
              <w:adjustRightInd/>
              <w:snapToGrid/>
              <w:spacing w:line="300" w:lineRule="exact"/>
              <w:ind w:firstLine="562"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b/>
                <w:bCs/>
                <w:color w:val="000000"/>
                <w:sz w:val="28"/>
                <w:szCs w:val="28"/>
              </w:rPr>
              <w:t>注：需提供有效的保险协议复印件，无或未按要求递交证明材料的不得分。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5"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7</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管理能力</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6</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b w:val="0"/>
                <w:bCs w:val="0"/>
                <w:color w:val="000000"/>
                <w:sz w:val="28"/>
                <w:szCs w:val="28"/>
              </w:rPr>
            </w:pPr>
            <w:r>
              <w:rPr>
                <w:rFonts w:hint="eastAsia" w:ascii="方正仿宋简体" w:hAnsi="方正仿宋简体" w:eastAsia="方正仿宋简体" w:cs="方正仿宋简体"/>
                <w:b w:val="0"/>
                <w:bCs w:val="0"/>
                <w:color w:val="000000"/>
                <w:sz w:val="28"/>
                <w:szCs w:val="28"/>
                <w:lang w:eastAsia="zh-CN"/>
              </w:rPr>
              <w:t>对服务单位</w:t>
            </w:r>
            <w:r>
              <w:rPr>
                <w:rFonts w:hint="eastAsia" w:ascii="方正仿宋简体" w:hAnsi="方正仿宋简体" w:eastAsia="方正仿宋简体" w:cs="方正仿宋简体"/>
                <w:b w:val="0"/>
                <w:bCs w:val="0"/>
                <w:color w:val="000000"/>
                <w:sz w:val="28"/>
                <w:szCs w:val="28"/>
              </w:rPr>
              <w:t>管理体系认证情况进行评分： ①具有有效的食品安全管理体系认证的，得2分； ②具有有效的质量管理体系认证的，得2分；  ③具有有效的危害分析与关键控制点认证证书，得2分</w:t>
            </w:r>
            <w:r>
              <w:rPr>
                <w:rFonts w:hint="eastAsia" w:ascii="方正仿宋简体" w:hAnsi="方正仿宋简体" w:eastAsia="方正仿宋简体" w:cs="方正仿宋简体"/>
                <w:b w:val="0"/>
                <w:bCs w:val="0"/>
                <w:color w:val="000000"/>
                <w:sz w:val="28"/>
                <w:szCs w:val="28"/>
                <w:lang w:eastAsia="zh-CN"/>
              </w:rPr>
              <w:t>；④</w:t>
            </w:r>
            <w:r>
              <w:rPr>
                <w:rFonts w:hint="eastAsia" w:ascii="方正仿宋简体" w:hAnsi="方正仿宋简体" w:eastAsia="方正仿宋简体" w:cs="方正仿宋简体"/>
                <w:b w:val="0"/>
                <w:bCs w:val="0"/>
                <w:color w:val="000000"/>
                <w:sz w:val="28"/>
                <w:szCs w:val="28"/>
              </w:rPr>
              <w:t>不提供有关材料者，不得分。</w:t>
            </w:r>
          </w:p>
          <w:p>
            <w:pPr>
              <w:keepNext w:val="0"/>
              <w:keepLines w:val="0"/>
              <w:pageBreakBefore w:val="0"/>
              <w:widowControl/>
              <w:kinsoku/>
              <w:wordWrap/>
              <w:overflowPunct/>
              <w:topLinePunct w:val="0"/>
              <w:autoSpaceDE/>
              <w:autoSpaceDN/>
              <w:bidi w:val="0"/>
              <w:adjustRightInd/>
              <w:snapToGrid/>
              <w:spacing w:line="300" w:lineRule="exact"/>
              <w:ind w:firstLine="562" w:firstLineChars="200"/>
              <w:jc w:val="left"/>
              <w:textAlignment w:val="auto"/>
              <w:rPr>
                <w:rFonts w:hint="eastAsia"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注：须提供以上证书复印件并加盖公章，不符合条件者不得分。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2"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8</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配送车辆情况</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5</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1.具备冷藏运输车（自有或租赁）的，得2.5分，本项最高得2.5分；</w:t>
            </w:r>
          </w:p>
          <w:p>
            <w:pPr>
              <w:keepNext w:val="0"/>
              <w:keepLines w:val="0"/>
              <w:pageBreakBefore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2.具备运输货车（自有或租赁）的，得2.5分，本项最高得2.5分 ；</w:t>
            </w:r>
          </w:p>
          <w:p>
            <w:pPr>
              <w:keepNext w:val="0"/>
              <w:keepLines w:val="0"/>
              <w:pageBreakBefore w:val="0"/>
              <w:kinsoku/>
              <w:wordWrap/>
              <w:overflowPunct/>
              <w:topLinePunct w:val="0"/>
              <w:autoSpaceDE/>
              <w:autoSpaceDN/>
              <w:bidi w:val="0"/>
              <w:adjustRightInd/>
              <w:snapToGrid/>
              <w:spacing w:line="300" w:lineRule="exact"/>
              <w:ind w:firstLine="562" w:firstLineChars="200"/>
              <w:textAlignment w:val="auto"/>
              <w:rPr>
                <w:rFonts w:hint="eastAsia"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注：需提供有效的车辆行驶证复印件，如是租赁车辆还需提供租赁合同证明复印件，并加盖</w:t>
            </w:r>
            <w:r>
              <w:rPr>
                <w:rFonts w:hint="eastAsia" w:ascii="方正仿宋简体" w:hAnsi="方正仿宋简体" w:eastAsia="方正仿宋简体" w:cs="方正仿宋简体"/>
                <w:b/>
                <w:bCs/>
                <w:color w:val="000000"/>
                <w:sz w:val="28"/>
                <w:szCs w:val="28"/>
                <w:lang w:eastAsia="zh-CN"/>
              </w:rPr>
              <w:t>服务</w:t>
            </w:r>
            <w:r>
              <w:rPr>
                <w:rFonts w:hint="eastAsia" w:ascii="方正仿宋简体" w:hAnsi="方正仿宋简体" w:eastAsia="方正仿宋简体" w:cs="方正仿宋简体"/>
                <w:b/>
                <w:bCs/>
                <w:color w:val="000000"/>
                <w:sz w:val="28"/>
                <w:szCs w:val="28"/>
              </w:rPr>
              <w:t>单位公章，无或未按要求提供不得分。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9</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kern w:val="0"/>
                <w:sz w:val="28"/>
                <w:szCs w:val="28"/>
                <w:lang w:bidi="ar"/>
              </w:rPr>
              <w:t>项目业绩</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自2021年1月1日（以合同签订时间为准）以来承接的同类项目经营业绩情况，每提供一个</w:t>
            </w:r>
            <w:r>
              <w:rPr>
                <w:rFonts w:hint="eastAsia" w:ascii="方正仿宋简体" w:hAnsi="方正仿宋简体" w:eastAsia="方正仿宋简体" w:cs="方正仿宋简体"/>
                <w:color w:val="000000"/>
                <w:sz w:val="28"/>
                <w:szCs w:val="28"/>
                <w:lang w:bidi="ar"/>
              </w:rPr>
              <w:t>得1分</w:t>
            </w:r>
            <w:r>
              <w:rPr>
                <w:rFonts w:hint="eastAsia" w:ascii="方正仿宋简体" w:hAnsi="方正仿宋简体" w:eastAsia="方正仿宋简体" w:cs="方正仿宋简体"/>
                <w:color w:val="000000"/>
                <w:kern w:val="0"/>
                <w:sz w:val="28"/>
                <w:szCs w:val="28"/>
              </w:rPr>
              <w:t>，最高</w:t>
            </w:r>
            <w:r>
              <w:rPr>
                <w:rFonts w:hint="eastAsia" w:ascii="方正仿宋简体" w:hAnsi="方正仿宋简体" w:eastAsia="方正仿宋简体" w:cs="方正仿宋简体"/>
                <w:color w:val="000000"/>
                <w:sz w:val="28"/>
                <w:szCs w:val="28"/>
                <w:lang w:bidi="ar"/>
              </w:rPr>
              <w:t>得4分</w:t>
            </w:r>
            <w:r>
              <w:rPr>
                <w:rFonts w:hint="eastAsia" w:ascii="方正仿宋简体" w:hAnsi="方正仿宋简体" w:eastAsia="方正仿宋简体" w:cs="方正仿宋简体"/>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300" w:lineRule="exact"/>
              <w:ind w:firstLine="554" w:firstLineChars="200"/>
              <w:jc w:val="left"/>
              <w:textAlignment w:val="auto"/>
              <w:rPr>
                <w:rFonts w:hint="eastAsia"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2"/>
                <w:sz w:val="28"/>
                <w:szCs w:val="28"/>
              </w:rPr>
              <w:t>注：提供合同复印件加盖公章，未提供不得分。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10</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食材价格</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10</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color w:val="000000"/>
                <w:kern w:val="2"/>
                <w:sz w:val="28"/>
                <w:szCs w:val="28"/>
                <w:highlight w:val="none"/>
              </w:rPr>
            </w:pP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color w:val="000000"/>
                <w:kern w:val="2"/>
                <w:sz w:val="28"/>
                <w:szCs w:val="28"/>
                <w:highlight w:val="none"/>
              </w:rPr>
            </w:pP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color w:val="000000"/>
                <w:kern w:val="2"/>
                <w:sz w:val="28"/>
                <w:szCs w:val="28"/>
                <w:highlight w:val="none"/>
              </w:rPr>
            </w:pPr>
            <w:r>
              <w:rPr>
                <w:rFonts w:hint="eastAsia" w:ascii="方正仿宋简体" w:hAnsi="方正仿宋简体" w:eastAsia="方正仿宋简体" w:cs="方正仿宋简体"/>
                <w:color w:val="000000"/>
                <w:kern w:val="2"/>
                <w:sz w:val="28"/>
                <w:szCs w:val="28"/>
                <w:highlight w:val="none"/>
              </w:rPr>
              <w:t>以江门市发改局公布的江门市菜篮子价格为基准价格，</w:t>
            </w:r>
            <w:r>
              <w:rPr>
                <w:rFonts w:hint="eastAsia" w:ascii="方正仿宋简体" w:hAnsi="方正仿宋简体" w:eastAsia="方正仿宋简体" w:cs="方正仿宋简体"/>
                <w:color w:val="000000"/>
                <w:kern w:val="2"/>
                <w:sz w:val="28"/>
                <w:szCs w:val="28"/>
                <w:highlight w:val="none"/>
                <w:lang w:eastAsia="zh-CN"/>
              </w:rPr>
              <w:t>服务单位</w:t>
            </w:r>
            <w:r>
              <w:rPr>
                <w:rFonts w:hint="eastAsia" w:ascii="方正仿宋简体" w:hAnsi="方正仿宋简体" w:eastAsia="方正仿宋简体" w:cs="方正仿宋简体"/>
                <w:color w:val="000000"/>
                <w:kern w:val="2"/>
                <w:sz w:val="28"/>
                <w:szCs w:val="28"/>
                <w:highlight w:val="none"/>
              </w:rPr>
              <w:t>提供折扣率报价，折扣率为0不得分，折扣率每增加1%得1分，最高得分10分。</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color w:val="000000"/>
                <w:sz w:val="28"/>
                <w:szCs w:val="28"/>
              </w:rPr>
            </w:pPr>
          </w:p>
        </w:tc>
      </w:tr>
    </w:tbl>
    <w:p>
      <w:pPr>
        <w:pStyle w:val="2"/>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12341"/>
    <w:multiLevelType w:val="singleLevel"/>
    <w:tmpl w:val="77F123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MTQ2MmFlMTI3NTU2NjYwZGRhOTQ0ZDI2YmU0ZTIifQ=="/>
  </w:docVars>
  <w:rsids>
    <w:rsidRoot w:val="192F1C53"/>
    <w:rsid w:val="000A39DD"/>
    <w:rsid w:val="000A4D0D"/>
    <w:rsid w:val="000E4B69"/>
    <w:rsid w:val="000F72EC"/>
    <w:rsid w:val="0010592A"/>
    <w:rsid w:val="0011333C"/>
    <w:rsid w:val="00181B06"/>
    <w:rsid w:val="001C54B0"/>
    <w:rsid w:val="00217CAA"/>
    <w:rsid w:val="0022764E"/>
    <w:rsid w:val="00253497"/>
    <w:rsid w:val="00256A20"/>
    <w:rsid w:val="002F2FAE"/>
    <w:rsid w:val="00327ABC"/>
    <w:rsid w:val="00386C09"/>
    <w:rsid w:val="004155FA"/>
    <w:rsid w:val="00440BD1"/>
    <w:rsid w:val="00444802"/>
    <w:rsid w:val="0048536C"/>
    <w:rsid w:val="004D0994"/>
    <w:rsid w:val="00516F57"/>
    <w:rsid w:val="005405DD"/>
    <w:rsid w:val="005677BB"/>
    <w:rsid w:val="00575AE6"/>
    <w:rsid w:val="005B2358"/>
    <w:rsid w:val="005C24A7"/>
    <w:rsid w:val="005D2948"/>
    <w:rsid w:val="005D7057"/>
    <w:rsid w:val="00684CFC"/>
    <w:rsid w:val="006B37E9"/>
    <w:rsid w:val="00715E72"/>
    <w:rsid w:val="00760CDA"/>
    <w:rsid w:val="00777AAB"/>
    <w:rsid w:val="007F142F"/>
    <w:rsid w:val="00833DB1"/>
    <w:rsid w:val="00883035"/>
    <w:rsid w:val="00896695"/>
    <w:rsid w:val="008B3592"/>
    <w:rsid w:val="008E4C95"/>
    <w:rsid w:val="008F0244"/>
    <w:rsid w:val="009061D4"/>
    <w:rsid w:val="00920A27"/>
    <w:rsid w:val="00955CC6"/>
    <w:rsid w:val="00985381"/>
    <w:rsid w:val="009A17F0"/>
    <w:rsid w:val="00A06B7B"/>
    <w:rsid w:val="00A4016C"/>
    <w:rsid w:val="00A408FF"/>
    <w:rsid w:val="00A91351"/>
    <w:rsid w:val="00AD3527"/>
    <w:rsid w:val="00BA1A5A"/>
    <w:rsid w:val="00BA45FF"/>
    <w:rsid w:val="00BF2CDA"/>
    <w:rsid w:val="00C5305A"/>
    <w:rsid w:val="00C6332D"/>
    <w:rsid w:val="00C94002"/>
    <w:rsid w:val="00CC67E8"/>
    <w:rsid w:val="00D26CA0"/>
    <w:rsid w:val="00D322A8"/>
    <w:rsid w:val="00D34B28"/>
    <w:rsid w:val="00D51152"/>
    <w:rsid w:val="00D75ECD"/>
    <w:rsid w:val="00D8654F"/>
    <w:rsid w:val="00DD3614"/>
    <w:rsid w:val="00E57E6C"/>
    <w:rsid w:val="00E62E95"/>
    <w:rsid w:val="00EE78F4"/>
    <w:rsid w:val="00F27F9E"/>
    <w:rsid w:val="00F32136"/>
    <w:rsid w:val="00F3439B"/>
    <w:rsid w:val="00FE3656"/>
    <w:rsid w:val="02281ED3"/>
    <w:rsid w:val="02975B37"/>
    <w:rsid w:val="02EF3CE2"/>
    <w:rsid w:val="03D07704"/>
    <w:rsid w:val="04501D97"/>
    <w:rsid w:val="04A138A9"/>
    <w:rsid w:val="04F96350"/>
    <w:rsid w:val="055D46F3"/>
    <w:rsid w:val="05825E6C"/>
    <w:rsid w:val="06047806"/>
    <w:rsid w:val="06A17C3D"/>
    <w:rsid w:val="078C102A"/>
    <w:rsid w:val="08791F65"/>
    <w:rsid w:val="09C4763F"/>
    <w:rsid w:val="0A643D47"/>
    <w:rsid w:val="0AD5188C"/>
    <w:rsid w:val="0BA8250C"/>
    <w:rsid w:val="0BAC4863"/>
    <w:rsid w:val="0DE76AAC"/>
    <w:rsid w:val="0EC171CA"/>
    <w:rsid w:val="101F6BAA"/>
    <w:rsid w:val="108B2400"/>
    <w:rsid w:val="10E36E67"/>
    <w:rsid w:val="12D60F9B"/>
    <w:rsid w:val="14392401"/>
    <w:rsid w:val="16245603"/>
    <w:rsid w:val="179B0C12"/>
    <w:rsid w:val="190C3C5A"/>
    <w:rsid w:val="192F1C53"/>
    <w:rsid w:val="1947728A"/>
    <w:rsid w:val="1998555C"/>
    <w:rsid w:val="1B1F31CB"/>
    <w:rsid w:val="1CFE23AD"/>
    <w:rsid w:val="1F5F73E0"/>
    <w:rsid w:val="1FD91F96"/>
    <w:rsid w:val="21390327"/>
    <w:rsid w:val="2284644C"/>
    <w:rsid w:val="24E62513"/>
    <w:rsid w:val="26FF0897"/>
    <w:rsid w:val="27151458"/>
    <w:rsid w:val="28154768"/>
    <w:rsid w:val="285F7C15"/>
    <w:rsid w:val="2A962913"/>
    <w:rsid w:val="2BB71B1C"/>
    <w:rsid w:val="2BE653DF"/>
    <w:rsid w:val="2E1F3463"/>
    <w:rsid w:val="2F2008BC"/>
    <w:rsid w:val="2F237931"/>
    <w:rsid w:val="2FD54E19"/>
    <w:rsid w:val="31385173"/>
    <w:rsid w:val="31A830A5"/>
    <w:rsid w:val="31FB18F8"/>
    <w:rsid w:val="339F0CA6"/>
    <w:rsid w:val="34121F77"/>
    <w:rsid w:val="348068E4"/>
    <w:rsid w:val="36FB702A"/>
    <w:rsid w:val="37464911"/>
    <w:rsid w:val="37AD1AB0"/>
    <w:rsid w:val="3A6F22A3"/>
    <w:rsid w:val="3CF38B3F"/>
    <w:rsid w:val="3CF83BC2"/>
    <w:rsid w:val="405E5286"/>
    <w:rsid w:val="41851145"/>
    <w:rsid w:val="43BE58A4"/>
    <w:rsid w:val="4570214B"/>
    <w:rsid w:val="47BB7F19"/>
    <w:rsid w:val="48B40ED6"/>
    <w:rsid w:val="49832196"/>
    <w:rsid w:val="49AF0B4A"/>
    <w:rsid w:val="4A0A533E"/>
    <w:rsid w:val="4ACB1131"/>
    <w:rsid w:val="4B475233"/>
    <w:rsid w:val="4B9F30DB"/>
    <w:rsid w:val="4CD2612C"/>
    <w:rsid w:val="4CF10D1B"/>
    <w:rsid w:val="4CFA048E"/>
    <w:rsid w:val="4DC24061"/>
    <w:rsid w:val="4FF37C24"/>
    <w:rsid w:val="515C3472"/>
    <w:rsid w:val="52C96606"/>
    <w:rsid w:val="52FA29CC"/>
    <w:rsid w:val="53044727"/>
    <w:rsid w:val="54F04F3F"/>
    <w:rsid w:val="55CF7B91"/>
    <w:rsid w:val="569F51E0"/>
    <w:rsid w:val="59474BAF"/>
    <w:rsid w:val="5BF5515F"/>
    <w:rsid w:val="5DCE0DB2"/>
    <w:rsid w:val="5E1E55BC"/>
    <w:rsid w:val="5E8F1D10"/>
    <w:rsid w:val="5E9A67E0"/>
    <w:rsid w:val="5F317537"/>
    <w:rsid w:val="62CF6B93"/>
    <w:rsid w:val="640F7E22"/>
    <w:rsid w:val="67E851FE"/>
    <w:rsid w:val="69C22F57"/>
    <w:rsid w:val="6A4826AE"/>
    <w:rsid w:val="6D932853"/>
    <w:rsid w:val="71753E71"/>
    <w:rsid w:val="723B6047"/>
    <w:rsid w:val="726E36C4"/>
    <w:rsid w:val="731C41B1"/>
    <w:rsid w:val="73CE6A1F"/>
    <w:rsid w:val="74621AFA"/>
    <w:rsid w:val="749B21CD"/>
    <w:rsid w:val="754003EF"/>
    <w:rsid w:val="75EF3014"/>
    <w:rsid w:val="76BC1A5E"/>
    <w:rsid w:val="76F870A1"/>
    <w:rsid w:val="79A7168D"/>
    <w:rsid w:val="7B627F2B"/>
    <w:rsid w:val="7BDB38C4"/>
    <w:rsid w:val="7BDB4C93"/>
    <w:rsid w:val="7D1208FF"/>
    <w:rsid w:val="CDFAE4D6"/>
    <w:rsid w:val="F7DF1D61"/>
    <w:rsid w:val="FF5E9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kern w:val="0"/>
      <w:sz w:val="20"/>
      <w:szCs w:val="20"/>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4">
    <w:name w:val="纯文本 字符"/>
    <w:link w:val="2"/>
    <w:qFormat/>
    <w:uiPriority w:val="0"/>
    <w:rPr>
      <w:rFonts w:ascii="宋体" w:hAnsi="Courier New"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344</Words>
  <Characters>1967</Characters>
  <Lines>16</Lines>
  <Paragraphs>4</Paragraphs>
  <TotalTime>12</TotalTime>
  <ScaleCrop>false</ScaleCrop>
  <LinksUpToDate>false</LinksUpToDate>
  <CharactersWithSpaces>2307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2024-08-02T01:24:00Z</dcterms:created>
  <dc:creator>李耀明</dc:creator>
  <cp:lastModifiedBy>办公室主任</cp:lastModifiedBy>
  <cp:lastPrinted>2025-08-15T08:40:00Z</cp:lastPrinted>
  <dcterms:modified xsi:type="dcterms:W3CDTF">2025-08-15T10:03:13Z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ribbonExt">
    <vt:lpwstr>{"WPSExtOfficeTab":{"OnGetEnabled":false,"OnGetVisible":false}}</vt:lpwstr>
  </property>
  <property fmtid="{D5CDD505-2E9C-101B-9397-08002B2CF9AE}" pid="4" name="ICV">
    <vt:lpwstr>CBB2FC6AD9BF41B1BE755BCC6F523E56_13</vt:lpwstr>
  </property>
</Properties>
</file>