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9DBA6">
      <w:pPr>
        <w:spacing w:line="560" w:lineRule="exact"/>
        <w:jc w:val="center"/>
        <w:rPr>
          <w:rFonts w:ascii="Times New Roman" w:hAnsi="Times New Roman" w:eastAsia="黑体" w:cs="Times New Roman"/>
          <w:sz w:val="40"/>
          <w:szCs w:val="48"/>
        </w:rPr>
      </w:pPr>
    </w:p>
    <w:p w14:paraId="3CF7A232">
      <w:pPr>
        <w:spacing w:line="560" w:lineRule="exact"/>
        <w:jc w:val="center"/>
        <w:rPr>
          <w:rFonts w:ascii="Times New Roman" w:hAnsi="Times New Roman" w:eastAsia="黑体" w:cs="Times New Roman"/>
          <w:sz w:val="40"/>
          <w:szCs w:val="48"/>
        </w:rPr>
      </w:pPr>
    </w:p>
    <w:p w14:paraId="0A1133EB">
      <w:pPr>
        <w:spacing w:line="560" w:lineRule="exact"/>
        <w:jc w:val="center"/>
        <w:rPr>
          <w:rFonts w:ascii="Times New Roman" w:hAnsi="Times New Roman" w:eastAsia="黑体" w:cs="Times New Roman"/>
          <w:sz w:val="40"/>
          <w:szCs w:val="48"/>
        </w:rPr>
      </w:pPr>
    </w:p>
    <w:p w14:paraId="7A2F1401">
      <w:pPr>
        <w:spacing w:line="560" w:lineRule="exact"/>
        <w:jc w:val="center"/>
        <w:rPr>
          <w:rFonts w:ascii="Times New Roman" w:hAnsi="Times New Roman" w:eastAsia="黑体" w:cs="Times New Roman"/>
          <w:sz w:val="40"/>
          <w:szCs w:val="48"/>
        </w:rPr>
      </w:pPr>
    </w:p>
    <w:p w14:paraId="21D4EECC">
      <w:pPr>
        <w:spacing w:line="560" w:lineRule="exact"/>
        <w:jc w:val="center"/>
        <w:rPr>
          <w:rFonts w:ascii="Times New Roman" w:hAnsi="Times New Roman" w:eastAsia="黑体" w:cs="Times New Roman"/>
          <w:sz w:val="40"/>
          <w:szCs w:val="48"/>
        </w:rPr>
      </w:pPr>
    </w:p>
    <w:p w14:paraId="26CD78D5">
      <w:pPr>
        <w:spacing w:line="560" w:lineRule="exact"/>
        <w:jc w:val="center"/>
        <w:rPr>
          <w:rFonts w:ascii="Times New Roman" w:hAnsi="Times New Roman" w:eastAsia="黑体" w:cs="Times New Roman"/>
          <w:sz w:val="40"/>
          <w:szCs w:val="48"/>
        </w:rPr>
      </w:pPr>
    </w:p>
    <w:p w14:paraId="279541B3">
      <w:pPr>
        <w:spacing w:line="560" w:lineRule="exact"/>
        <w:jc w:val="center"/>
        <w:rPr>
          <w:rFonts w:ascii="Times New Roman" w:hAnsi="Times New Roman" w:eastAsia="黑体" w:cs="Times New Roman"/>
          <w:sz w:val="40"/>
          <w:szCs w:val="48"/>
        </w:rPr>
      </w:pPr>
    </w:p>
    <w:p w14:paraId="5D55A46E">
      <w:pPr>
        <w:spacing w:line="560" w:lineRule="exact"/>
        <w:jc w:val="center"/>
        <w:rPr>
          <w:rFonts w:ascii="Times New Roman" w:hAnsi="Times New Roman" w:eastAsia="黑体" w:cs="Times New Roman"/>
          <w:sz w:val="40"/>
          <w:szCs w:val="48"/>
        </w:rPr>
      </w:pPr>
      <w:bookmarkStart w:id="0" w:name="_Toc30339266"/>
      <w:r>
        <w:rPr>
          <w:rFonts w:ascii="Times New Roman" w:hAnsi="Times New Roman" w:eastAsia="黑体" w:cs="Times New Roman"/>
          <w:sz w:val="40"/>
          <w:szCs w:val="48"/>
        </w:rPr>
        <w:t>恩平市先进制造业发展“十四五”规划</w:t>
      </w:r>
      <w:bookmarkEnd w:id="0"/>
    </w:p>
    <w:p w14:paraId="03BEE9A3">
      <w:pPr>
        <w:spacing w:line="560" w:lineRule="exact"/>
        <w:ind w:firstLine="640" w:firstLineChars="200"/>
        <w:rPr>
          <w:rFonts w:ascii="Times New Roman" w:hAnsi="Times New Roman" w:cs="Times New Roman"/>
          <w:sz w:val="32"/>
          <w:szCs w:val="40"/>
        </w:rPr>
      </w:pPr>
    </w:p>
    <w:p w14:paraId="269D5C85">
      <w:pPr>
        <w:spacing w:line="560" w:lineRule="exact"/>
        <w:ind w:firstLine="640" w:firstLineChars="200"/>
        <w:rPr>
          <w:rFonts w:ascii="Times New Roman" w:hAnsi="Times New Roman" w:cs="Times New Roman"/>
          <w:sz w:val="32"/>
          <w:szCs w:val="40"/>
        </w:rPr>
      </w:pPr>
    </w:p>
    <w:p w14:paraId="758CE6A2">
      <w:pPr>
        <w:spacing w:line="560" w:lineRule="exact"/>
        <w:rPr>
          <w:rFonts w:ascii="Times New Roman" w:hAnsi="Times New Roman" w:cs="Times New Roman"/>
          <w:sz w:val="32"/>
          <w:szCs w:val="40"/>
        </w:rPr>
      </w:pPr>
    </w:p>
    <w:p w14:paraId="0C40D0EF">
      <w:pPr>
        <w:spacing w:line="560" w:lineRule="exact"/>
        <w:ind w:firstLine="640" w:firstLineChars="200"/>
        <w:rPr>
          <w:rFonts w:ascii="Times New Roman" w:hAnsi="Times New Roman" w:cs="Times New Roman"/>
          <w:sz w:val="32"/>
          <w:szCs w:val="40"/>
        </w:rPr>
      </w:pPr>
    </w:p>
    <w:p w14:paraId="1E2D8C9E">
      <w:pPr>
        <w:spacing w:line="560" w:lineRule="exact"/>
        <w:ind w:firstLine="640" w:firstLineChars="200"/>
        <w:rPr>
          <w:rFonts w:ascii="Times New Roman" w:hAnsi="Times New Roman" w:cs="Times New Roman"/>
          <w:sz w:val="32"/>
          <w:szCs w:val="40"/>
        </w:rPr>
      </w:pPr>
    </w:p>
    <w:p w14:paraId="18A00847">
      <w:pPr>
        <w:spacing w:line="560" w:lineRule="exact"/>
        <w:ind w:firstLine="640" w:firstLineChars="200"/>
        <w:rPr>
          <w:rFonts w:ascii="Times New Roman" w:hAnsi="Times New Roman" w:cs="Times New Roman"/>
          <w:sz w:val="32"/>
          <w:szCs w:val="40"/>
        </w:rPr>
      </w:pPr>
    </w:p>
    <w:p w14:paraId="1260ED76">
      <w:pPr>
        <w:spacing w:line="560" w:lineRule="exact"/>
        <w:ind w:firstLine="640" w:firstLineChars="200"/>
        <w:rPr>
          <w:rFonts w:ascii="Times New Roman" w:hAnsi="Times New Roman" w:cs="Times New Roman"/>
          <w:sz w:val="32"/>
          <w:szCs w:val="40"/>
        </w:rPr>
      </w:pPr>
    </w:p>
    <w:p w14:paraId="5BB96B23">
      <w:pPr>
        <w:spacing w:line="560" w:lineRule="exact"/>
        <w:rPr>
          <w:rFonts w:ascii="Times New Roman" w:hAnsi="Times New Roman" w:cs="Times New Roman"/>
          <w:sz w:val="32"/>
          <w:szCs w:val="40"/>
        </w:rPr>
      </w:pPr>
    </w:p>
    <w:p w14:paraId="48A95F66">
      <w:pPr>
        <w:spacing w:line="560" w:lineRule="exact"/>
        <w:ind w:firstLine="640" w:firstLineChars="200"/>
        <w:rPr>
          <w:rFonts w:ascii="Times New Roman" w:hAnsi="Times New Roman" w:cs="Times New Roman"/>
          <w:sz w:val="32"/>
          <w:szCs w:val="40"/>
        </w:rPr>
      </w:pPr>
    </w:p>
    <w:p w14:paraId="0ACA52E4">
      <w:pPr>
        <w:spacing w:line="560" w:lineRule="exact"/>
        <w:ind w:firstLine="640" w:firstLineChars="200"/>
        <w:rPr>
          <w:rFonts w:ascii="Times New Roman" w:hAnsi="Times New Roman" w:cs="Times New Roman"/>
          <w:sz w:val="32"/>
          <w:szCs w:val="40"/>
        </w:rPr>
      </w:pPr>
    </w:p>
    <w:p w14:paraId="618E60B1">
      <w:pPr>
        <w:spacing w:line="560" w:lineRule="exact"/>
        <w:ind w:firstLine="640" w:firstLineChars="200"/>
        <w:rPr>
          <w:rFonts w:ascii="Times New Roman" w:hAnsi="Times New Roman" w:cs="Times New Roman"/>
          <w:sz w:val="32"/>
          <w:szCs w:val="40"/>
        </w:rPr>
      </w:pPr>
    </w:p>
    <w:p w14:paraId="1F594F53">
      <w:pPr>
        <w:spacing w:line="560" w:lineRule="exact"/>
        <w:jc w:val="center"/>
        <w:rPr>
          <w:rFonts w:ascii="Times New Roman" w:hAnsi="Times New Roman" w:eastAsia="仿宋_GB2312" w:cs="Times New Roman"/>
          <w:sz w:val="32"/>
          <w:szCs w:val="40"/>
        </w:rPr>
      </w:pPr>
      <w:r>
        <w:rPr>
          <w:rFonts w:ascii="Times New Roman" w:hAnsi="Times New Roman" w:eastAsia="仿宋_GB2312" w:cs="Times New Roman"/>
          <w:sz w:val="32"/>
          <w:szCs w:val="40"/>
        </w:rPr>
        <w:t>202</w:t>
      </w:r>
      <w:r>
        <w:rPr>
          <w:rFonts w:hint="eastAsia" w:ascii="Times New Roman" w:hAnsi="Times New Roman" w:eastAsia="仿宋_GB2312" w:cs="Times New Roman"/>
          <w:sz w:val="32"/>
          <w:szCs w:val="40"/>
        </w:rPr>
        <w:t>4</w:t>
      </w:r>
      <w:r>
        <w:rPr>
          <w:rFonts w:ascii="Times New Roman" w:hAnsi="Times New Roman" w:eastAsia="仿宋_GB2312" w:cs="Times New Roman"/>
          <w:sz w:val="32"/>
          <w:szCs w:val="40"/>
        </w:rPr>
        <w:t>年</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月</w:t>
      </w:r>
    </w:p>
    <w:p w14:paraId="31FC8421">
      <w:pPr>
        <w:spacing w:line="560" w:lineRule="exact"/>
        <w:ind w:firstLine="640" w:firstLineChars="200"/>
        <w:rPr>
          <w:rFonts w:ascii="Times New Roman" w:hAnsi="Times New Roman" w:cs="Times New Roman"/>
          <w:sz w:val="32"/>
          <w:szCs w:val="40"/>
        </w:rPr>
      </w:pPr>
      <w:r>
        <w:rPr>
          <w:rFonts w:ascii="Times New Roman" w:hAnsi="Times New Roman" w:cs="Times New Roman"/>
          <w:sz w:val="32"/>
          <w:szCs w:val="40"/>
        </w:rPr>
        <w:br w:type="page"/>
      </w:r>
    </w:p>
    <w:p w14:paraId="6CC7B3CC">
      <w:pPr>
        <w:spacing w:line="560" w:lineRule="exact"/>
        <w:ind w:firstLine="640" w:firstLineChars="200"/>
        <w:rPr>
          <w:rFonts w:ascii="Times New Roman" w:hAnsi="Times New Roman" w:cs="Times New Roman"/>
          <w:sz w:val="32"/>
          <w:szCs w:val="40"/>
        </w:rPr>
      </w:pPr>
    </w:p>
    <w:sdt>
      <w:sdtPr>
        <w:rPr>
          <w:rFonts w:ascii="Times New Roman" w:hAnsi="Times New Roman" w:cs="Times New Roman"/>
        </w:rPr>
        <w:id w:val="-2050486269"/>
        <w:docPartObj>
          <w:docPartGallery w:val="Table of Contents"/>
          <w:docPartUnique/>
        </w:docPartObj>
      </w:sdtPr>
      <w:sdtEndPr>
        <w:rPr>
          <w:rFonts w:ascii="Times New Roman" w:hAnsi="Times New Roman" w:cs="Times New Roman"/>
          <w:b/>
        </w:rPr>
      </w:sdtEndPr>
      <w:sdtContent>
        <w:p w14:paraId="14B32FB0">
          <w:pPr>
            <w:jc w:val="center"/>
            <w:rPr>
              <w:rFonts w:ascii="Times New Roman" w:hAnsi="Times New Roman" w:eastAsia="黑体" w:cs="Times New Roman"/>
              <w:sz w:val="40"/>
              <w:szCs w:val="40"/>
            </w:rPr>
          </w:pPr>
          <w:r>
            <w:rPr>
              <w:rFonts w:ascii="Times New Roman" w:hAnsi="Times New Roman" w:eastAsia="黑体" w:cs="Times New Roman"/>
              <w:sz w:val="40"/>
              <w:szCs w:val="40"/>
            </w:rPr>
            <w:t>目录</w:t>
          </w:r>
        </w:p>
        <w:p w14:paraId="10E8A77F">
          <w:pPr>
            <w:jc w:val="center"/>
            <w:rPr>
              <w:rFonts w:ascii="Times New Roman" w:hAnsi="Times New Roman" w:eastAsia="黑体" w:cs="Times New Roman"/>
              <w:sz w:val="40"/>
              <w:szCs w:val="40"/>
            </w:rPr>
          </w:pPr>
        </w:p>
        <w:p w14:paraId="1727CCA2">
          <w:pPr>
            <w:pStyle w:val="12"/>
            <w:tabs>
              <w:tab w:val="right" w:leader="dot" w:pos="8296"/>
            </w:tabs>
            <w:rPr>
              <w:rFonts w:asciiTheme="minorHAnsi" w:hAnsiTheme="minorHAnsi" w:eastAsiaTheme="minorEastAsia" w:cstheme="minorBidi"/>
              <w:szCs w:val="22"/>
            </w:rPr>
          </w:pPr>
          <w:r>
            <w:rPr>
              <w:rFonts w:ascii="Times New Roman" w:hAnsi="Times New Roman" w:cs="Times New Roman"/>
              <w:sz w:val="48"/>
              <w:szCs w:val="48"/>
            </w:rPr>
            <w:fldChar w:fldCharType="begin"/>
          </w:r>
          <w:r>
            <w:rPr>
              <w:rFonts w:ascii="Times New Roman" w:hAnsi="Times New Roman" w:cs="Times New Roman"/>
              <w:sz w:val="48"/>
              <w:szCs w:val="48"/>
            </w:rPr>
            <w:instrText xml:space="preserve">TOC \o "1-2" \h \u </w:instrText>
          </w:r>
          <w:r>
            <w:rPr>
              <w:rFonts w:ascii="Times New Roman" w:hAnsi="Times New Roman" w:cs="Times New Roman"/>
              <w:sz w:val="48"/>
              <w:szCs w:val="48"/>
            </w:rPr>
            <w:fldChar w:fldCharType="separate"/>
          </w:r>
          <w:r>
            <w:fldChar w:fldCharType="begin"/>
          </w:r>
          <w:r>
            <w:instrText xml:space="preserve"> HYPERLINK \l "_Toc167288460" </w:instrText>
          </w:r>
          <w:r>
            <w:fldChar w:fldCharType="separate"/>
          </w:r>
          <w:r>
            <w:rPr>
              <w:rStyle w:val="26"/>
              <w:rFonts w:hint="eastAsia" w:ascii="Times New Roman" w:hAnsi="Times New Roman" w:eastAsia="黑体" w:cs="Times New Roman"/>
              <w:color w:val="auto"/>
            </w:rPr>
            <w:t>前言</w:t>
          </w:r>
          <w:r>
            <w:tab/>
          </w:r>
          <w:r>
            <w:fldChar w:fldCharType="begin"/>
          </w:r>
          <w:r>
            <w:instrText xml:space="preserve"> PAGEREF _Toc167288460 \h </w:instrText>
          </w:r>
          <w:r>
            <w:fldChar w:fldCharType="separate"/>
          </w:r>
          <w:r>
            <w:t>3</w:t>
          </w:r>
          <w:r>
            <w:fldChar w:fldCharType="end"/>
          </w:r>
          <w:r>
            <w:fldChar w:fldCharType="end"/>
          </w:r>
        </w:p>
        <w:p w14:paraId="365B6551">
          <w:pPr>
            <w:pStyle w:val="12"/>
            <w:tabs>
              <w:tab w:val="right" w:leader="dot" w:pos="8296"/>
            </w:tabs>
            <w:rPr>
              <w:rFonts w:asciiTheme="minorHAnsi" w:hAnsiTheme="minorHAnsi" w:eastAsiaTheme="minorEastAsia" w:cstheme="minorBidi"/>
              <w:szCs w:val="22"/>
            </w:rPr>
          </w:pPr>
          <w:r>
            <w:fldChar w:fldCharType="begin"/>
          </w:r>
          <w:r>
            <w:instrText xml:space="preserve"> HYPERLINK \l "_Toc167288461" </w:instrText>
          </w:r>
          <w:r>
            <w:fldChar w:fldCharType="separate"/>
          </w:r>
          <w:r>
            <w:rPr>
              <w:rStyle w:val="26"/>
              <w:rFonts w:hint="eastAsia" w:ascii="Times New Roman" w:hAnsi="Times New Roman" w:eastAsia="黑体" w:cs="Times New Roman"/>
              <w:color w:val="auto"/>
            </w:rPr>
            <w:t>一、发展现状</w:t>
          </w:r>
          <w:r>
            <w:tab/>
          </w:r>
          <w:r>
            <w:fldChar w:fldCharType="begin"/>
          </w:r>
          <w:r>
            <w:instrText xml:space="preserve"> PAGEREF _Toc167288461 \h </w:instrText>
          </w:r>
          <w:r>
            <w:fldChar w:fldCharType="separate"/>
          </w:r>
          <w:r>
            <w:t>5</w:t>
          </w:r>
          <w:r>
            <w:fldChar w:fldCharType="end"/>
          </w:r>
          <w:r>
            <w:fldChar w:fldCharType="end"/>
          </w:r>
        </w:p>
        <w:p w14:paraId="0B50124F">
          <w:pPr>
            <w:pStyle w:val="12"/>
            <w:tabs>
              <w:tab w:val="right" w:leader="dot" w:pos="8296"/>
            </w:tabs>
            <w:rPr>
              <w:rFonts w:asciiTheme="minorHAnsi" w:hAnsiTheme="minorHAnsi" w:eastAsiaTheme="minorEastAsia" w:cstheme="minorBidi"/>
              <w:szCs w:val="22"/>
            </w:rPr>
          </w:pPr>
          <w:r>
            <w:fldChar w:fldCharType="begin"/>
          </w:r>
          <w:r>
            <w:instrText xml:space="preserve"> HYPERLINK \l "_Toc167288462" </w:instrText>
          </w:r>
          <w:r>
            <w:fldChar w:fldCharType="separate"/>
          </w:r>
          <w:r>
            <w:rPr>
              <w:rStyle w:val="26"/>
              <w:rFonts w:hint="eastAsia" w:ascii="Times New Roman" w:hAnsi="Times New Roman" w:eastAsia="黑体" w:cs="Times New Roman"/>
              <w:color w:val="auto"/>
            </w:rPr>
            <w:t>二、发展形势</w:t>
          </w:r>
          <w:r>
            <w:tab/>
          </w:r>
          <w:r>
            <w:fldChar w:fldCharType="begin"/>
          </w:r>
          <w:r>
            <w:instrText xml:space="preserve"> PAGEREF _Toc167288462 \h </w:instrText>
          </w:r>
          <w:r>
            <w:fldChar w:fldCharType="separate"/>
          </w:r>
          <w:r>
            <w:t>10</w:t>
          </w:r>
          <w:r>
            <w:fldChar w:fldCharType="end"/>
          </w:r>
          <w:r>
            <w:fldChar w:fldCharType="end"/>
          </w:r>
        </w:p>
        <w:p w14:paraId="52AC9925">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"_Toc167288463" </w:instrText>
          </w:r>
          <w:r>
            <w:fldChar w:fldCharType="separate"/>
          </w:r>
          <w:r>
            <w:rPr>
              <w:rStyle w:val="26"/>
              <w:rFonts w:hint="eastAsia" w:ascii="Times New Roman" w:hAnsi="Times New Roman" w:eastAsia="楷体_GB2312" w:cs="Times New Roman"/>
              <w:b/>
              <w:bCs/>
              <w:color w:val="auto"/>
            </w:rPr>
            <w:t>（一）面临挑战</w:t>
          </w:r>
          <w:r>
            <w:tab/>
          </w:r>
          <w:r>
            <w:fldChar w:fldCharType="begin"/>
          </w:r>
          <w:r>
            <w:instrText xml:space="preserve"> PAGEREF _Toc167288463 \h </w:instrText>
          </w:r>
          <w:r>
            <w:fldChar w:fldCharType="separate"/>
          </w:r>
          <w:r>
            <w:t>10</w:t>
          </w:r>
          <w:r>
            <w:fldChar w:fldCharType="end"/>
          </w:r>
          <w:r>
            <w:fldChar w:fldCharType="end"/>
          </w:r>
        </w:p>
        <w:p w14:paraId="241E7329">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"_Toc167288464" </w:instrText>
          </w:r>
          <w:r>
            <w:fldChar w:fldCharType="separate"/>
          </w:r>
          <w:r>
            <w:rPr>
              <w:rStyle w:val="26"/>
              <w:rFonts w:hint="eastAsia" w:ascii="Times New Roman" w:hAnsi="Times New Roman" w:eastAsia="楷体_GB2312" w:cs="Times New Roman"/>
              <w:b/>
              <w:bCs/>
              <w:color w:val="auto"/>
            </w:rPr>
            <w:t>（二）发展机遇</w:t>
          </w:r>
          <w:r>
            <w:tab/>
          </w:r>
          <w:r>
            <w:fldChar w:fldCharType="begin"/>
          </w:r>
          <w:r>
            <w:instrText xml:space="preserve"> PAGEREF _Toc167288464 \h </w:instrText>
          </w:r>
          <w:r>
            <w:fldChar w:fldCharType="separate"/>
          </w:r>
          <w:r>
            <w:t>13</w:t>
          </w:r>
          <w:r>
            <w:fldChar w:fldCharType="end"/>
          </w:r>
          <w:r>
            <w:fldChar w:fldCharType="end"/>
          </w:r>
        </w:p>
        <w:p w14:paraId="1BECDB74">
          <w:pPr>
            <w:pStyle w:val="12"/>
            <w:tabs>
              <w:tab w:val="right" w:leader="dot" w:pos="8296"/>
            </w:tabs>
            <w:rPr>
              <w:rFonts w:asciiTheme="minorHAnsi" w:hAnsiTheme="minorHAnsi" w:eastAsiaTheme="minorEastAsia" w:cstheme="minorBidi"/>
              <w:szCs w:val="22"/>
            </w:rPr>
          </w:pPr>
          <w:r>
            <w:fldChar w:fldCharType="begin"/>
          </w:r>
          <w:r>
            <w:instrText xml:space="preserve"> HYPERLINK \l "_Toc167288465" </w:instrText>
          </w:r>
          <w:r>
            <w:fldChar w:fldCharType="separate"/>
          </w:r>
          <w:r>
            <w:rPr>
              <w:rStyle w:val="26"/>
              <w:rFonts w:hint="eastAsia" w:ascii="Times New Roman" w:hAnsi="Times New Roman" w:eastAsia="黑体" w:cs="Times New Roman"/>
              <w:color w:val="auto"/>
            </w:rPr>
            <w:t>三、总体要求</w:t>
          </w:r>
          <w:r>
            <w:tab/>
          </w:r>
          <w:r>
            <w:fldChar w:fldCharType="begin"/>
          </w:r>
          <w:r>
            <w:instrText xml:space="preserve"> PAGEREF _Toc167288465 \h </w:instrText>
          </w:r>
          <w:r>
            <w:fldChar w:fldCharType="separate"/>
          </w:r>
          <w:r>
            <w:t>15</w:t>
          </w:r>
          <w:r>
            <w:fldChar w:fldCharType="end"/>
          </w:r>
          <w:r>
            <w:fldChar w:fldCharType="end"/>
          </w:r>
        </w:p>
        <w:p w14:paraId="0B72BFBA">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"_Toc167288466" </w:instrText>
          </w:r>
          <w:r>
            <w:fldChar w:fldCharType="separate"/>
          </w:r>
          <w:r>
            <w:rPr>
              <w:rStyle w:val="26"/>
              <w:rFonts w:hint="eastAsia" w:ascii="Times New Roman" w:hAnsi="Times New Roman" w:eastAsia="楷体_GB2312" w:cs="Times New Roman"/>
              <w:b/>
              <w:bCs/>
              <w:color w:val="auto"/>
            </w:rPr>
            <w:t>（一）指导思想</w:t>
          </w:r>
          <w:r>
            <w:tab/>
          </w:r>
          <w:r>
            <w:fldChar w:fldCharType="begin"/>
          </w:r>
          <w:r>
            <w:instrText xml:space="preserve"> PAGEREF _Toc167288466 \h </w:instrText>
          </w:r>
          <w:r>
            <w:fldChar w:fldCharType="separate"/>
          </w:r>
          <w:r>
            <w:t>15</w:t>
          </w:r>
          <w:r>
            <w:fldChar w:fldCharType="end"/>
          </w:r>
          <w:r>
            <w:fldChar w:fldCharType="end"/>
          </w:r>
        </w:p>
        <w:p w14:paraId="31FD5F4D">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"_Toc167288467" </w:instrText>
          </w:r>
          <w:r>
            <w:fldChar w:fldCharType="separate"/>
          </w:r>
          <w:r>
            <w:rPr>
              <w:rStyle w:val="26"/>
              <w:rFonts w:hint="eastAsia" w:ascii="Times New Roman" w:hAnsi="Times New Roman" w:eastAsia="楷体_GB2312" w:cs="Times New Roman"/>
              <w:b/>
              <w:bCs/>
              <w:color w:val="auto"/>
            </w:rPr>
            <w:t>（二）基本原则</w:t>
          </w:r>
          <w:r>
            <w:tab/>
          </w:r>
          <w:r>
            <w:fldChar w:fldCharType="begin"/>
          </w:r>
          <w:r>
            <w:instrText xml:space="preserve"> PAGEREF _Toc167288467 \h </w:instrText>
          </w:r>
          <w:r>
            <w:fldChar w:fldCharType="separate"/>
          </w:r>
          <w:r>
            <w:t>16</w:t>
          </w:r>
          <w:r>
            <w:fldChar w:fldCharType="end"/>
          </w:r>
          <w:r>
            <w:fldChar w:fldCharType="end"/>
          </w:r>
        </w:p>
        <w:p w14:paraId="7FD0C7EB">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"_Toc167288468" </w:instrText>
          </w:r>
          <w:r>
            <w:fldChar w:fldCharType="separate"/>
          </w:r>
          <w:r>
            <w:rPr>
              <w:rStyle w:val="26"/>
              <w:rFonts w:hint="eastAsia" w:ascii="Times New Roman" w:hAnsi="Times New Roman" w:eastAsia="楷体_GB2312" w:cs="Times New Roman"/>
              <w:b/>
              <w:bCs/>
              <w:color w:val="auto"/>
            </w:rPr>
            <w:t>（三）编制依据</w:t>
          </w:r>
          <w:r>
            <w:tab/>
          </w:r>
          <w:r>
            <w:fldChar w:fldCharType="begin"/>
          </w:r>
          <w:r>
            <w:instrText xml:space="preserve"> PAGEREF _Toc167288468 \h </w:instrText>
          </w:r>
          <w:r>
            <w:fldChar w:fldCharType="separate"/>
          </w:r>
          <w:r>
            <w:t>17</w:t>
          </w:r>
          <w:r>
            <w:fldChar w:fldCharType="end"/>
          </w:r>
          <w:r>
            <w:fldChar w:fldCharType="end"/>
          </w:r>
        </w:p>
        <w:p w14:paraId="6DB76198">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"_Toc167288469" </w:instrText>
          </w:r>
          <w:r>
            <w:fldChar w:fldCharType="separate"/>
          </w:r>
          <w:r>
            <w:rPr>
              <w:rStyle w:val="26"/>
              <w:rFonts w:hint="eastAsia" w:ascii="Times New Roman" w:hAnsi="Times New Roman" w:eastAsia="楷体_GB2312" w:cs="Times New Roman"/>
              <w:b/>
              <w:bCs/>
              <w:color w:val="auto"/>
            </w:rPr>
            <w:t>（四）发展目标</w:t>
          </w:r>
          <w:r>
            <w:tab/>
          </w:r>
          <w:r>
            <w:fldChar w:fldCharType="begin"/>
          </w:r>
          <w:r>
            <w:instrText xml:space="preserve"> PAGEREF _Toc167288469 \h </w:instrText>
          </w:r>
          <w:r>
            <w:fldChar w:fldCharType="separate"/>
          </w:r>
          <w:r>
            <w:t>18</w:t>
          </w:r>
          <w:r>
            <w:fldChar w:fldCharType="end"/>
          </w:r>
          <w:r>
            <w:fldChar w:fldCharType="end"/>
          </w:r>
        </w:p>
        <w:p w14:paraId="358081ED">
          <w:pPr>
            <w:pStyle w:val="12"/>
            <w:tabs>
              <w:tab w:val="right" w:leader="dot" w:pos="8296"/>
            </w:tabs>
            <w:rPr>
              <w:rFonts w:asciiTheme="minorHAnsi" w:hAnsiTheme="minorHAnsi" w:eastAsiaTheme="minorEastAsia" w:cstheme="minorBidi"/>
              <w:szCs w:val="22"/>
            </w:rPr>
          </w:pPr>
          <w:r>
            <w:fldChar w:fldCharType="begin"/>
          </w:r>
          <w:r>
            <w:instrText xml:space="preserve"> HYPERLINK \l "_Toc167288470" </w:instrText>
          </w:r>
          <w:r>
            <w:fldChar w:fldCharType="separate"/>
          </w:r>
          <w:r>
            <w:rPr>
              <w:rStyle w:val="26"/>
              <w:rFonts w:hint="eastAsia" w:ascii="Times New Roman" w:hAnsi="Times New Roman" w:eastAsia="黑体" w:cs="Times New Roman"/>
              <w:color w:val="auto"/>
            </w:rPr>
            <w:t>四、重点发展路径</w:t>
          </w:r>
          <w:r>
            <w:tab/>
          </w:r>
          <w:r>
            <w:fldChar w:fldCharType="begin"/>
          </w:r>
          <w:r>
            <w:instrText xml:space="preserve"> PAGEREF _Toc167288470 \h </w:instrText>
          </w:r>
          <w:r>
            <w:fldChar w:fldCharType="separate"/>
          </w:r>
          <w:r>
            <w:t>20</w:t>
          </w:r>
          <w:r>
            <w:fldChar w:fldCharType="end"/>
          </w:r>
          <w:r>
            <w:fldChar w:fldCharType="end"/>
          </w:r>
        </w:p>
        <w:p w14:paraId="4FF1BE38">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"_Toc167288471" </w:instrText>
          </w:r>
          <w:r>
            <w:fldChar w:fldCharType="separate"/>
          </w:r>
          <w:r>
            <w:rPr>
              <w:rStyle w:val="26"/>
              <w:rFonts w:hint="eastAsia" w:ascii="Times New Roman" w:hAnsi="Times New Roman" w:eastAsia="楷体_GB2312" w:cs="Times New Roman"/>
              <w:b/>
              <w:bCs/>
              <w:color w:val="auto"/>
            </w:rPr>
            <w:t>（一）培育发展四个战略性产业集群</w:t>
          </w:r>
          <w:r>
            <w:tab/>
          </w:r>
          <w:r>
            <w:fldChar w:fldCharType="begin"/>
          </w:r>
          <w:r>
            <w:instrText xml:space="preserve"> PAGEREF _Toc167288471 \h </w:instrText>
          </w:r>
          <w:r>
            <w:fldChar w:fldCharType="separate"/>
          </w:r>
          <w:r>
            <w:t>20</w:t>
          </w:r>
          <w:r>
            <w:fldChar w:fldCharType="end"/>
          </w:r>
          <w:r>
            <w:fldChar w:fldCharType="end"/>
          </w:r>
        </w:p>
        <w:p w14:paraId="437E4286">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"_Toc167288472" </w:instrText>
          </w:r>
          <w:r>
            <w:fldChar w:fldCharType="separate"/>
          </w:r>
          <w:r>
            <w:rPr>
              <w:rStyle w:val="26"/>
              <w:rFonts w:hint="eastAsia" w:ascii="Times New Roman" w:hAnsi="Times New Roman" w:eastAsia="楷体_GB2312" w:cs="Times New Roman"/>
              <w:b/>
              <w:bCs/>
              <w:color w:val="auto"/>
            </w:rPr>
            <w:t>（二）巩固提升二个特色优势产业集群</w:t>
          </w:r>
          <w:r>
            <w:tab/>
          </w:r>
          <w:r>
            <w:fldChar w:fldCharType="begin"/>
          </w:r>
          <w:r>
            <w:instrText xml:space="preserve"> PAGEREF _Toc167288472 \h </w:instrText>
          </w:r>
          <w:r>
            <w:fldChar w:fldCharType="separate"/>
          </w:r>
          <w:r>
            <w:t>33</w:t>
          </w:r>
          <w:r>
            <w:fldChar w:fldCharType="end"/>
          </w:r>
          <w:r>
            <w:fldChar w:fldCharType="end"/>
          </w:r>
        </w:p>
        <w:p w14:paraId="15F5FEF7">
          <w:pPr>
            <w:pStyle w:val="12"/>
            <w:tabs>
              <w:tab w:val="right" w:leader="dot" w:pos="8296"/>
            </w:tabs>
            <w:rPr>
              <w:rFonts w:asciiTheme="minorHAnsi" w:hAnsiTheme="minorHAnsi" w:eastAsiaTheme="minorEastAsia" w:cstheme="minorBidi"/>
              <w:szCs w:val="22"/>
            </w:rPr>
          </w:pPr>
          <w:r>
            <w:fldChar w:fldCharType="begin"/>
          </w:r>
          <w:r>
            <w:instrText xml:space="preserve"> HYPERLINK \l "_Toc167288473" </w:instrText>
          </w:r>
          <w:r>
            <w:fldChar w:fldCharType="separate"/>
          </w:r>
          <w:r>
            <w:rPr>
              <w:rStyle w:val="26"/>
              <w:rFonts w:hint="eastAsia" w:ascii="Times New Roman" w:hAnsi="Times New Roman" w:eastAsia="黑体" w:cs="Times New Roman"/>
              <w:color w:val="auto"/>
            </w:rPr>
            <w:t>五、发展重点任务</w:t>
          </w:r>
          <w:r>
            <w:tab/>
          </w:r>
          <w:r>
            <w:fldChar w:fldCharType="begin"/>
          </w:r>
          <w:r>
            <w:instrText xml:space="preserve"> PAGEREF _Toc167288473 \h </w:instrText>
          </w:r>
          <w:r>
            <w:fldChar w:fldCharType="separate"/>
          </w:r>
          <w:r>
            <w:t>36</w:t>
          </w:r>
          <w:r>
            <w:fldChar w:fldCharType="end"/>
          </w:r>
          <w:r>
            <w:fldChar w:fldCharType="end"/>
          </w:r>
        </w:p>
        <w:p w14:paraId="78BA3414">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"_Toc167288474" </w:instrText>
          </w:r>
          <w:r>
            <w:fldChar w:fldCharType="separate"/>
          </w:r>
          <w:r>
            <w:rPr>
              <w:rStyle w:val="26"/>
              <w:rFonts w:hint="eastAsia" w:ascii="Times New Roman" w:hAnsi="Times New Roman" w:eastAsia="楷体_GB2312" w:cs="Times New Roman"/>
              <w:b/>
              <w:bCs/>
              <w:color w:val="auto"/>
            </w:rPr>
            <w:t>（一）着力产业链建设，夯实产业基础能力</w:t>
          </w:r>
          <w:r>
            <w:tab/>
          </w:r>
          <w:r>
            <w:fldChar w:fldCharType="begin"/>
          </w:r>
          <w:r>
            <w:instrText xml:space="preserve"> PAGEREF _Toc167288474 \h </w:instrText>
          </w:r>
          <w:r>
            <w:fldChar w:fldCharType="separate"/>
          </w:r>
          <w:r>
            <w:t>36</w:t>
          </w:r>
          <w:r>
            <w:fldChar w:fldCharType="end"/>
          </w:r>
          <w:r>
            <w:fldChar w:fldCharType="end"/>
          </w:r>
        </w:p>
        <w:p w14:paraId="3B42DC89">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"_Toc167288475" </w:instrText>
          </w:r>
          <w:r>
            <w:fldChar w:fldCharType="separate"/>
          </w:r>
          <w:r>
            <w:rPr>
              <w:rStyle w:val="26"/>
              <w:rFonts w:hint="eastAsia" w:ascii="Times New Roman" w:hAnsi="Times New Roman" w:eastAsia="楷体_GB2312" w:cs="Times New Roman"/>
              <w:b/>
              <w:bCs/>
              <w:color w:val="auto"/>
            </w:rPr>
            <w:t>（二）坚持创新驱动，增强产业核心竞争力</w:t>
          </w:r>
          <w:r>
            <w:tab/>
          </w:r>
          <w:r>
            <w:fldChar w:fldCharType="begin"/>
          </w:r>
          <w:r>
            <w:instrText xml:space="preserve"> PAGEREF _Toc167288475 \h </w:instrText>
          </w:r>
          <w:r>
            <w:fldChar w:fldCharType="separate"/>
          </w:r>
          <w:r>
            <w:t>38</w:t>
          </w:r>
          <w:r>
            <w:fldChar w:fldCharType="end"/>
          </w:r>
          <w:r>
            <w:fldChar w:fldCharType="end"/>
          </w:r>
        </w:p>
        <w:p w14:paraId="0FA43197">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"_Toc167288476" </w:instrText>
          </w:r>
          <w:r>
            <w:fldChar w:fldCharType="separate"/>
          </w:r>
          <w:r>
            <w:rPr>
              <w:rStyle w:val="26"/>
              <w:rFonts w:hint="eastAsia" w:ascii="Times New Roman" w:hAnsi="Times New Roman" w:eastAsia="仿宋_GB2312"/>
              <w:b/>
              <w:color w:val="auto"/>
            </w:rPr>
            <w:t>（三）培育壮大主体，增强制造业总体规模</w:t>
          </w:r>
          <w:r>
            <w:tab/>
          </w:r>
          <w:r>
            <w:fldChar w:fldCharType="begin"/>
          </w:r>
          <w:r>
            <w:instrText xml:space="preserve"> PAGEREF _Toc167288476 \h </w:instrText>
          </w:r>
          <w:r>
            <w:fldChar w:fldCharType="separate"/>
          </w:r>
          <w:r>
            <w:t>42</w:t>
          </w:r>
          <w:r>
            <w:fldChar w:fldCharType="end"/>
          </w:r>
          <w:r>
            <w:fldChar w:fldCharType="end"/>
          </w:r>
        </w:p>
        <w:p w14:paraId="38626F6D">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"_Toc167288477" </w:instrText>
          </w:r>
          <w:r>
            <w:fldChar w:fldCharType="separate"/>
          </w:r>
          <w:r>
            <w:rPr>
              <w:rStyle w:val="26"/>
              <w:rFonts w:hint="eastAsia" w:ascii="Times New Roman" w:hAnsi="Times New Roman" w:eastAsia="仿宋_GB2312"/>
              <w:b/>
              <w:color w:val="auto"/>
            </w:rPr>
            <w:t>（四）加快融合发展，推动产业优化升级</w:t>
          </w:r>
          <w:r>
            <w:tab/>
          </w:r>
          <w:r>
            <w:fldChar w:fldCharType="begin"/>
          </w:r>
          <w:r>
            <w:instrText xml:space="preserve"> PAGEREF _Toc167288477 \h </w:instrText>
          </w:r>
          <w:r>
            <w:fldChar w:fldCharType="separate"/>
          </w:r>
          <w:r>
            <w:t>45</w:t>
          </w:r>
          <w:r>
            <w:fldChar w:fldCharType="end"/>
          </w:r>
          <w:r>
            <w:fldChar w:fldCharType="end"/>
          </w:r>
        </w:p>
        <w:p w14:paraId="30109D55">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"_Toc167288478" </w:instrText>
          </w:r>
          <w:r>
            <w:fldChar w:fldCharType="separate"/>
          </w:r>
          <w:r>
            <w:rPr>
              <w:rStyle w:val="26"/>
              <w:rFonts w:hint="eastAsia" w:ascii="Times New Roman" w:hAnsi="Times New Roman" w:eastAsia="楷体_GB2312" w:cs="Times New Roman"/>
              <w:b/>
              <w:bCs/>
              <w:color w:val="auto"/>
            </w:rPr>
            <w:t>（五）强化品牌建设，提升产业品质水平</w:t>
          </w:r>
          <w:r>
            <w:tab/>
          </w:r>
          <w:r>
            <w:fldChar w:fldCharType="begin"/>
          </w:r>
          <w:r>
            <w:instrText xml:space="preserve"> PAGEREF _Toc167288478 \h </w:instrText>
          </w:r>
          <w:r>
            <w:fldChar w:fldCharType="separate"/>
          </w:r>
          <w:r>
            <w:t>49</w:t>
          </w:r>
          <w:r>
            <w:fldChar w:fldCharType="end"/>
          </w:r>
          <w:r>
            <w:fldChar w:fldCharType="end"/>
          </w:r>
        </w:p>
        <w:p w14:paraId="3C93A6DC">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"_Toc167288479" </w:instrText>
          </w:r>
          <w:r>
            <w:fldChar w:fldCharType="separate"/>
          </w:r>
          <w:r>
            <w:rPr>
              <w:rStyle w:val="26"/>
              <w:rFonts w:hint="eastAsia" w:ascii="Times New Roman" w:hAnsi="Times New Roman" w:eastAsia="楷体_GB2312" w:cs="Times New Roman"/>
              <w:b/>
              <w:bCs/>
              <w:color w:val="auto"/>
            </w:rPr>
            <w:t>（六）坚持开放合作，融入</w:t>
          </w:r>
          <w:r>
            <w:rPr>
              <w:rStyle w:val="26"/>
              <w:rFonts w:ascii="Times New Roman" w:hAnsi="Times New Roman" w:eastAsia="楷体_GB2312" w:cs="Times New Roman"/>
              <w:b/>
              <w:bCs/>
              <w:color w:val="auto"/>
            </w:rPr>
            <w:t>“</w:t>
          </w:r>
          <w:r>
            <w:rPr>
              <w:rStyle w:val="26"/>
              <w:rFonts w:hint="eastAsia" w:ascii="Times New Roman" w:hAnsi="Times New Roman" w:eastAsia="楷体_GB2312" w:cs="Times New Roman"/>
              <w:b/>
              <w:bCs/>
              <w:color w:val="auto"/>
            </w:rPr>
            <w:t>双循环</w:t>
          </w:r>
          <w:r>
            <w:rPr>
              <w:rStyle w:val="26"/>
              <w:rFonts w:ascii="Times New Roman" w:hAnsi="Times New Roman" w:eastAsia="楷体_GB2312" w:cs="Times New Roman"/>
              <w:b/>
              <w:bCs/>
              <w:color w:val="auto"/>
            </w:rPr>
            <w:t>”</w:t>
          </w:r>
          <w:r>
            <w:rPr>
              <w:rStyle w:val="26"/>
              <w:rFonts w:hint="eastAsia" w:ascii="Times New Roman" w:hAnsi="Times New Roman" w:eastAsia="楷体_GB2312" w:cs="Times New Roman"/>
              <w:b/>
              <w:bCs/>
              <w:color w:val="auto"/>
            </w:rPr>
            <w:t>新发展格局</w:t>
          </w:r>
          <w:r>
            <w:tab/>
          </w:r>
          <w:r>
            <w:fldChar w:fldCharType="begin"/>
          </w:r>
          <w:r>
            <w:instrText xml:space="preserve"> PAGEREF _Toc167288479 \h </w:instrText>
          </w:r>
          <w:r>
            <w:fldChar w:fldCharType="separate"/>
          </w:r>
          <w:r>
            <w:t>51</w:t>
          </w:r>
          <w:r>
            <w:fldChar w:fldCharType="end"/>
          </w:r>
          <w:r>
            <w:fldChar w:fldCharType="end"/>
          </w:r>
        </w:p>
        <w:p w14:paraId="20FB6F6A">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"_Toc167288480" </w:instrText>
          </w:r>
          <w:r>
            <w:fldChar w:fldCharType="separate"/>
          </w:r>
          <w:r>
            <w:rPr>
              <w:rStyle w:val="26"/>
              <w:rFonts w:hint="eastAsia" w:ascii="Times New Roman" w:hAnsi="Times New Roman" w:eastAsia="楷体_GB2312" w:cs="Times New Roman"/>
              <w:b/>
              <w:bCs/>
              <w:color w:val="auto"/>
            </w:rPr>
            <w:t>（七）强化要素供给，构建制造业发展保障体系</w:t>
          </w:r>
          <w:r>
            <w:tab/>
          </w:r>
          <w:r>
            <w:fldChar w:fldCharType="begin"/>
          </w:r>
          <w:r>
            <w:instrText xml:space="preserve"> PAGEREF _Toc167288480 \h </w:instrText>
          </w:r>
          <w:r>
            <w:fldChar w:fldCharType="separate"/>
          </w:r>
          <w:r>
            <w:t>53</w:t>
          </w:r>
          <w:r>
            <w:fldChar w:fldCharType="end"/>
          </w:r>
          <w:r>
            <w:fldChar w:fldCharType="end"/>
          </w:r>
        </w:p>
        <w:p w14:paraId="6E76B476">
          <w:pPr>
            <w:pStyle w:val="12"/>
            <w:tabs>
              <w:tab w:val="right" w:leader="dot" w:pos="8296"/>
            </w:tabs>
            <w:rPr>
              <w:rFonts w:asciiTheme="minorHAnsi" w:hAnsiTheme="minorHAnsi" w:eastAsiaTheme="minorEastAsia" w:cstheme="minorBidi"/>
              <w:szCs w:val="22"/>
            </w:rPr>
          </w:pPr>
          <w:r>
            <w:fldChar w:fldCharType="begin"/>
          </w:r>
          <w:r>
            <w:instrText xml:space="preserve"> HYPERLINK \l "_Toc167288481" </w:instrText>
          </w:r>
          <w:r>
            <w:fldChar w:fldCharType="separate"/>
          </w:r>
          <w:r>
            <w:rPr>
              <w:rStyle w:val="26"/>
              <w:rFonts w:hint="eastAsia" w:ascii="Times New Roman" w:hAnsi="Times New Roman" w:eastAsia="黑体" w:cs="Times New Roman"/>
              <w:color w:val="auto"/>
            </w:rPr>
            <w:t>六、产业发展平台布局</w:t>
          </w:r>
          <w:r>
            <w:tab/>
          </w:r>
          <w:r>
            <w:fldChar w:fldCharType="begin"/>
          </w:r>
          <w:r>
            <w:instrText xml:space="preserve"> PAGEREF _Toc167288481 \h </w:instrText>
          </w:r>
          <w:r>
            <w:fldChar w:fldCharType="separate"/>
          </w:r>
          <w:r>
            <w:t>58</w:t>
          </w:r>
          <w:r>
            <w:fldChar w:fldCharType="end"/>
          </w:r>
          <w:r>
            <w:fldChar w:fldCharType="end"/>
          </w:r>
        </w:p>
        <w:p w14:paraId="0919BF3C">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"_Toc167288482" </w:instrText>
          </w:r>
          <w:r>
            <w:fldChar w:fldCharType="separate"/>
          </w:r>
          <w:r>
            <w:rPr>
              <w:rStyle w:val="26"/>
              <w:rFonts w:hint="eastAsia" w:ascii="Times New Roman" w:hAnsi="Times New Roman" w:eastAsia="楷体_GB2312" w:cs="Times New Roman"/>
              <w:b/>
              <w:bCs/>
              <w:color w:val="auto"/>
            </w:rPr>
            <w:t>（一）发展空间规划布局</w:t>
          </w:r>
          <w:r>
            <w:tab/>
          </w:r>
          <w:r>
            <w:fldChar w:fldCharType="begin"/>
          </w:r>
          <w:r>
            <w:instrText xml:space="preserve"> PAGEREF _Toc167288482 \h </w:instrText>
          </w:r>
          <w:r>
            <w:fldChar w:fldCharType="separate"/>
          </w:r>
          <w:r>
            <w:t>58</w:t>
          </w:r>
          <w:r>
            <w:fldChar w:fldCharType="end"/>
          </w:r>
          <w:r>
            <w:fldChar w:fldCharType="end"/>
          </w:r>
        </w:p>
        <w:p w14:paraId="43378BF3">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"_Toc167288483" </w:instrText>
          </w:r>
          <w:r>
            <w:fldChar w:fldCharType="separate"/>
          </w:r>
          <w:r>
            <w:rPr>
              <w:rStyle w:val="26"/>
              <w:rFonts w:hint="eastAsia" w:ascii="Times New Roman" w:hAnsi="Times New Roman" w:eastAsia="楷体_GB2312" w:cs="Times New Roman"/>
              <w:b/>
              <w:bCs/>
              <w:color w:val="auto"/>
            </w:rPr>
            <w:t>（二）恩平工业园发展规划</w:t>
          </w:r>
          <w:r>
            <w:tab/>
          </w:r>
          <w:r>
            <w:fldChar w:fldCharType="begin"/>
          </w:r>
          <w:r>
            <w:instrText xml:space="preserve"> PAGEREF _Toc167288483 \h </w:instrText>
          </w:r>
          <w:r>
            <w:fldChar w:fldCharType="separate"/>
          </w:r>
          <w:r>
            <w:t>60</w:t>
          </w:r>
          <w:r>
            <w:fldChar w:fldCharType="end"/>
          </w:r>
          <w:r>
            <w:fldChar w:fldCharType="end"/>
          </w:r>
        </w:p>
        <w:p w14:paraId="3F1D36DE">
          <w:pPr>
            <w:pStyle w:val="12"/>
            <w:tabs>
              <w:tab w:val="right" w:leader="dot" w:pos="8296"/>
            </w:tabs>
            <w:rPr>
              <w:rFonts w:asciiTheme="minorHAnsi" w:hAnsiTheme="minorHAnsi" w:eastAsiaTheme="minorEastAsia" w:cstheme="minorBidi"/>
              <w:szCs w:val="22"/>
            </w:rPr>
          </w:pPr>
          <w:r>
            <w:fldChar w:fldCharType="begin"/>
          </w:r>
          <w:r>
            <w:instrText xml:space="preserve"> HYPERLINK \l "_Toc167288484" </w:instrText>
          </w:r>
          <w:r>
            <w:fldChar w:fldCharType="separate"/>
          </w:r>
          <w:r>
            <w:rPr>
              <w:rStyle w:val="26"/>
              <w:rFonts w:hint="eastAsia" w:ascii="Times New Roman" w:hAnsi="Times New Roman" w:eastAsia="黑体" w:cs="Times New Roman"/>
              <w:color w:val="auto"/>
            </w:rPr>
            <w:t>七、保障措施</w:t>
          </w:r>
          <w:r>
            <w:tab/>
          </w:r>
          <w:r>
            <w:fldChar w:fldCharType="begin"/>
          </w:r>
          <w:r>
            <w:instrText xml:space="preserve"> PAGEREF _Toc167288484 \h </w:instrText>
          </w:r>
          <w:r>
            <w:fldChar w:fldCharType="separate"/>
          </w:r>
          <w:r>
            <w:t>61</w:t>
          </w:r>
          <w:r>
            <w:fldChar w:fldCharType="end"/>
          </w:r>
          <w:r>
            <w:fldChar w:fldCharType="end"/>
          </w:r>
        </w:p>
        <w:p w14:paraId="776F35C9">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"_Toc167288485" </w:instrText>
          </w:r>
          <w:r>
            <w:fldChar w:fldCharType="separate"/>
          </w:r>
          <w:r>
            <w:rPr>
              <w:rStyle w:val="26"/>
              <w:rFonts w:hint="eastAsia" w:ascii="Times New Roman" w:hAnsi="Times New Roman" w:eastAsia="楷体_GB2312" w:cs="Times New Roman"/>
              <w:b/>
              <w:bCs/>
              <w:color w:val="auto"/>
            </w:rPr>
            <w:t>（一）加强组织实施</w:t>
          </w:r>
          <w:r>
            <w:tab/>
          </w:r>
          <w:r>
            <w:fldChar w:fldCharType="begin"/>
          </w:r>
          <w:r>
            <w:instrText xml:space="preserve"> PAGEREF _Toc167288485 \h </w:instrText>
          </w:r>
          <w:r>
            <w:fldChar w:fldCharType="separate"/>
          </w:r>
          <w:r>
            <w:t>61</w:t>
          </w:r>
          <w:r>
            <w:fldChar w:fldCharType="end"/>
          </w:r>
          <w:r>
            <w:fldChar w:fldCharType="end"/>
          </w:r>
        </w:p>
        <w:p w14:paraId="2DDEE725">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"_Toc167288486" </w:instrText>
          </w:r>
          <w:r>
            <w:fldChar w:fldCharType="separate"/>
          </w:r>
          <w:r>
            <w:rPr>
              <w:rStyle w:val="26"/>
              <w:rFonts w:hint="eastAsia" w:ascii="Times New Roman" w:hAnsi="Times New Roman" w:eastAsia="楷体_GB2312"/>
              <w:b/>
              <w:color w:val="auto"/>
            </w:rPr>
            <w:t>（二）完善政策配套</w:t>
          </w:r>
          <w:r>
            <w:tab/>
          </w:r>
          <w:r>
            <w:fldChar w:fldCharType="begin"/>
          </w:r>
          <w:r>
            <w:instrText xml:space="preserve"> PAGEREF _Toc167288486 \h </w:instrText>
          </w:r>
          <w:r>
            <w:fldChar w:fldCharType="separate"/>
          </w:r>
          <w:r>
            <w:t>62</w:t>
          </w:r>
          <w:r>
            <w:fldChar w:fldCharType="end"/>
          </w:r>
          <w:r>
            <w:fldChar w:fldCharType="end"/>
          </w:r>
        </w:p>
        <w:p w14:paraId="5E55E19F">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"_Toc167288487" </w:instrText>
          </w:r>
          <w:r>
            <w:fldChar w:fldCharType="separate"/>
          </w:r>
          <w:r>
            <w:rPr>
              <w:rStyle w:val="26"/>
              <w:rFonts w:hint="eastAsia" w:ascii="Times New Roman" w:hAnsi="Times New Roman" w:eastAsia="楷体_GB2312" w:cs="Times New Roman"/>
              <w:b/>
              <w:bCs/>
              <w:color w:val="auto"/>
            </w:rPr>
            <w:t>（三）加强监测评估</w:t>
          </w:r>
          <w:r>
            <w:tab/>
          </w:r>
          <w:r>
            <w:fldChar w:fldCharType="begin"/>
          </w:r>
          <w:r>
            <w:instrText xml:space="preserve"> PAGEREF _Toc167288487 \h </w:instrText>
          </w:r>
          <w:r>
            <w:fldChar w:fldCharType="separate"/>
          </w:r>
          <w:r>
            <w:t>62</w:t>
          </w:r>
          <w:r>
            <w:fldChar w:fldCharType="end"/>
          </w:r>
          <w:r>
            <w:fldChar w:fldCharType="end"/>
          </w:r>
        </w:p>
        <w:p w14:paraId="290F270B">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"_Toc167288488" </w:instrText>
          </w:r>
          <w:r>
            <w:fldChar w:fldCharType="separate"/>
          </w:r>
          <w:r>
            <w:rPr>
              <w:rStyle w:val="26"/>
              <w:rFonts w:hint="eastAsia" w:ascii="Times New Roman" w:hAnsi="Times New Roman" w:eastAsia="楷体_GB2312" w:cs="Times New Roman"/>
              <w:b/>
              <w:bCs/>
              <w:color w:val="auto"/>
            </w:rPr>
            <w:t>（四）加强金融服务</w:t>
          </w:r>
          <w:r>
            <w:tab/>
          </w:r>
          <w:r>
            <w:fldChar w:fldCharType="begin"/>
          </w:r>
          <w:r>
            <w:instrText xml:space="preserve"> PAGEREF _Toc167288488 \h </w:instrText>
          </w:r>
          <w:r>
            <w:fldChar w:fldCharType="separate"/>
          </w:r>
          <w:r>
            <w:t>63</w:t>
          </w:r>
          <w:r>
            <w:fldChar w:fldCharType="end"/>
          </w:r>
          <w:r>
            <w:fldChar w:fldCharType="end"/>
          </w:r>
        </w:p>
        <w:p w14:paraId="7F9F795B">
          <w:pPr>
            <w:pStyle w:val="16"/>
            <w:tabs>
              <w:tab w:val="right" w:leader="dot" w:pos="8296"/>
            </w:tabs>
            <w:ind w:left="420"/>
            <w:rPr>
              <w:rFonts w:asciiTheme="minorHAnsi" w:hAnsiTheme="minorHAnsi" w:eastAsiaTheme="minorEastAsia" w:cstheme="minorBidi"/>
              <w:szCs w:val="22"/>
            </w:rPr>
          </w:pPr>
          <w:r>
            <w:fldChar w:fldCharType="begin"/>
          </w:r>
          <w:r>
            <w:instrText xml:space="preserve"> HYPERLINK \l "_Toc167288489" </w:instrText>
          </w:r>
          <w:r>
            <w:fldChar w:fldCharType="separate"/>
          </w:r>
          <w:r>
            <w:rPr>
              <w:rStyle w:val="26"/>
              <w:rFonts w:hint="eastAsia" w:ascii="Times New Roman" w:hAnsi="Times New Roman" w:eastAsia="楷体_GB2312" w:cs="Times New Roman"/>
              <w:b/>
              <w:bCs/>
              <w:color w:val="auto"/>
            </w:rPr>
            <w:t>（五）加强政策宣贯</w:t>
          </w:r>
          <w:r>
            <w:tab/>
          </w:r>
          <w:r>
            <w:fldChar w:fldCharType="begin"/>
          </w:r>
          <w:r>
            <w:instrText xml:space="preserve"> PAGEREF _Toc167288489 \h </w:instrText>
          </w:r>
          <w:r>
            <w:fldChar w:fldCharType="separate"/>
          </w:r>
          <w:r>
            <w:t>63</w:t>
          </w:r>
          <w:r>
            <w:fldChar w:fldCharType="end"/>
          </w:r>
          <w:r>
            <w:fldChar w:fldCharType="end"/>
          </w:r>
        </w:p>
        <w:p w14:paraId="11520285">
          <w:pPr>
            <w:rPr>
              <w:rFonts w:ascii="Times New Roman" w:hAnsi="Times New Roman" w:cs="Times New Roman"/>
            </w:rPr>
          </w:pPr>
          <w:r>
            <w:rPr>
              <w:rFonts w:ascii="Times New Roman" w:hAnsi="Times New Roman" w:cs="Times New Roman"/>
              <w:b/>
              <w:sz w:val="48"/>
              <w:szCs w:val="48"/>
            </w:rPr>
            <w:fldChar w:fldCharType="end"/>
          </w:r>
        </w:p>
      </w:sdtContent>
    </w:sdt>
    <w:p w14:paraId="43E26617">
      <w:pPr>
        <w:spacing w:line="560" w:lineRule="exact"/>
        <w:jc w:val="center"/>
        <w:outlineLvl w:val="0"/>
        <w:rPr>
          <w:rFonts w:ascii="Times New Roman" w:hAnsi="Times New Roman" w:eastAsia="黑体" w:cs="Times New Roman"/>
          <w:sz w:val="32"/>
          <w:szCs w:val="40"/>
        </w:rPr>
        <w:sectPr>
          <w:footerReference r:id="rId3" w:type="default"/>
          <w:pgSz w:w="11906" w:h="16838"/>
          <w:pgMar w:top="1440" w:right="1800" w:bottom="1440" w:left="1800" w:header="851" w:footer="992" w:gutter="0"/>
          <w:pgNumType w:start="1"/>
          <w:cols w:space="720" w:num="1"/>
          <w:docGrid w:type="lines" w:linePitch="312" w:charSpace="0"/>
        </w:sectPr>
      </w:pPr>
    </w:p>
    <w:p w14:paraId="01ABE517">
      <w:pPr>
        <w:spacing w:line="560" w:lineRule="exact"/>
        <w:jc w:val="center"/>
        <w:outlineLvl w:val="0"/>
        <w:rPr>
          <w:rFonts w:ascii="Times New Roman" w:hAnsi="Times New Roman" w:eastAsia="黑体" w:cs="Times New Roman"/>
          <w:sz w:val="32"/>
          <w:szCs w:val="40"/>
        </w:rPr>
      </w:pPr>
      <w:bookmarkStart w:id="1" w:name="_Toc167288460"/>
      <w:bookmarkStart w:id="2" w:name="_Toc2256"/>
      <w:bookmarkStart w:id="3" w:name="_Toc22457"/>
      <w:bookmarkStart w:id="4" w:name="_Toc51589551"/>
      <w:r>
        <w:rPr>
          <w:rFonts w:ascii="Times New Roman" w:hAnsi="Times New Roman" w:eastAsia="黑体" w:cs="Times New Roman"/>
          <w:sz w:val="32"/>
          <w:szCs w:val="40"/>
        </w:rPr>
        <w:t>前言</w:t>
      </w:r>
      <w:bookmarkEnd w:id="1"/>
      <w:bookmarkEnd w:id="2"/>
      <w:bookmarkEnd w:id="3"/>
      <w:bookmarkEnd w:id="4"/>
    </w:p>
    <w:p w14:paraId="190C28A2">
      <w:pPr>
        <w:spacing w:line="560" w:lineRule="exact"/>
        <w:ind w:firstLine="640" w:firstLineChars="200"/>
        <w:rPr>
          <w:rFonts w:ascii="Times New Roman" w:hAnsi="Times New Roman" w:eastAsia="仿宋_GB2312" w:cs="Times New Roman"/>
          <w:sz w:val="32"/>
          <w:szCs w:val="40"/>
        </w:rPr>
      </w:pPr>
    </w:p>
    <w:p w14:paraId="1A8556F3">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先进制造业是相对于传统制造业而言，指制造业不断吸收高新技术成果，并将这些先进技术综合应用于制造业产品的研发设计、生产制造、在线检测、营销服务和管理的全过程，实现信息化、自动化、智能化、柔性化、生态化生产，取得很好经济收益和市场效果的制造业总称。党的十九大以来，以习近平同志为核心的党中央提出要加快建设制造强国，加快发展先进制造业，推动互联网、大数据、人工智能和实体经济深度融合，培育若干世界级先进制造业集群，促使制造企业积极转型升级，以抢占未来发展的战略制高点。</w:t>
      </w:r>
    </w:p>
    <w:p w14:paraId="00236968">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随着粤港澳大湾区及深圳中国特色社会主义先行示范区、横琴和前海两个合作区、“一核一带一区”区域发展格局建设等战略机遇叠加发生，立足江门市加快构建形成“三区并进”区域发展新格局，积极履行“珠江西岸新增长极和沿海经济带上的江海门户”的新使命新定位机遇，在“十四五”的关键时期，加快先进制造业发展是恩平打造先进制造业强市、加快培育百亿产业集群</w:t>
      </w:r>
      <w:r>
        <w:rPr>
          <w:rFonts w:ascii="Times New Roman" w:hAnsi="Times New Roman" w:eastAsia="仿宋_GB2312" w:cs="Times New Roman"/>
          <w:sz w:val="32"/>
          <w:szCs w:val="32"/>
        </w:rPr>
        <w:t>、具有恩平特色现代化产业体系、打造宜居宜业宜游生态示范城市</w:t>
      </w:r>
      <w:r>
        <w:rPr>
          <w:rFonts w:ascii="Times New Roman" w:hAnsi="Times New Roman" w:eastAsia="仿宋_GB2312" w:cs="Times New Roman"/>
          <w:sz w:val="32"/>
          <w:szCs w:val="40"/>
        </w:rPr>
        <w:t>的重要抓手和必然路径。根据《广东省人民政府关于培育发展战略性支柱产业集群和战略性新兴产业集群的意见》《广东省制造业高质量发展“十四五”规划》《江门市先进制造业发展“十四五”规划》《恩平市国民经济和社会发展第十四个五年规划和二</w:t>
      </w:r>
      <w:r>
        <w:rPr>
          <w:rFonts w:hint="eastAsia" w:ascii="Times New Roman" w:hAnsi="Times New Roman" w:eastAsia="仿宋_GB2312" w:cs="Times New Roman"/>
          <w:sz w:val="32"/>
          <w:szCs w:val="40"/>
        </w:rPr>
        <w:t>〇</w:t>
      </w:r>
      <w:r>
        <w:rPr>
          <w:rFonts w:ascii="Times New Roman" w:hAnsi="Times New Roman" w:eastAsia="仿宋_GB2312" w:cs="Times New Roman"/>
          <w:sz w:val="32"/>
          <w:szCs w:val="40"/>
        </w:rPr>
        <w:t>三五年远景目标纲要》等文件，结合恩平先进制造业发展实际与先进制造业发展趋势，编制《恩平市先进制造业发展“十四五”规划》，提出先进制造业在“十四五”期间重点发展</w:t>
      </w:r>
      <w:r>
        <w:rPr>
          <w:rFonts w:hint="eastAsia" w:ascii="Times New Roman" w:hAnsi="Times New Roman" w:eastAsia="仿宋_GB2312" w:cs="Times New Roman"/>
          <w:sz w:val="32"/>
          <w:szCs w:val="40"/>
        </w:rPr>
        <w:t>高端</w:t>
      </w:r>
      <w:r>
        <w:rPr>
          <w:rFonts w:ascii="Times New Roman" w:hAnsi="Times New Roman" w:eastAsia="仿宋_GB2312" w:cs="Times New Roman"/>
          <w:sz w:val="32"/>
          <w:szCs w:val="40"/>
        </w:rPr>
        <w:t>装备制造、新一代电子信息、</w:t>
      </w:r>
      <w:r>
        <w:rPr>
          <w:rFonts w:hint="eastAsia" w:ascii="Times New Roman" w:hAnsi="Times New Roman" w:eastAsia="仿宋_GB2312" w:cs="Times New Roman"/>
          <w:sz w:val="32"/>
          <w:szCs w:val="40"/>
        </w:rPr>
        <w:t>现代农业与</w:t>
      </w:r>
      <w:r>
        <w:rPr>
          <w:rFonts w:ascii="Times New Roman" w:hAnsi="Times New Roman" w:eastAsia="仿宋_GB2312" w:cs="Times New Roman"/>
          <w:sz w:val="32"/>
          <w:szCs w:val="40"/>
        </w:rPr>
        <w:t>食品和</w:t>
      </w:r>
      <w:r>
        <w:rPr>
          <w:rFonts w:hint="eastAsia" w:ascii="Times New Roman" w:hAnsi="Times New Roman" w:eastAsia="仿宋_GB2312" w:cs="Times New Roman"/>
          <w:sz w:val="32"/>
          <w:szCs w:val="40"/>
        </w:rPr>
        <w:t>先进</w:t>
      </w:r>
      <w:r>
        <w:rPr>
          <w:rFonts w:ascii="Times New Roman" w:hAnsi="Times New Roman" w:eastAsia="仿宋_GB2312" w:cs="Times New Roman"/>
          <w:sz w:val="32"/>
          <w:szCs w:val="40"/>
        </w:rPr>
        <w:t>材料等四大</w:t>
      </w:r>
      <w:r>
        <w:rPr>
          <w:rFonts w:hint="eastAsia" w:ascii="Times New Roman" w:hAnsi="Times New Roman" w:eastAsia="仿宋_GB2312" w:cs="Times New Roman"/>
          <w:sz w:val="32"/>
          <w:szCs w:val="40"/>
        </w:rPr>
        <w:t>战略性</w:t>
      </w:r>
      <w:r>
        <w:rPr>
          <w:rFonts w:ascii="Times New Roman" w:hAnsi="Times New Roman" w:eastAsia="仿宋_GB2312" w:cs="Times New Roman"/>
          <w:sz w:val="32"/>
          <w:szCs w:val="40"/>
        </w:rPr>
        <w:t>产业，打造具有恩平特色的先进制造业产业集群，推动全市先进制造业实现高质量发展。</w:t>
      </w:r>
      <w:bookmarkStart w:id="5" w:name="_Toc28043"/>
      <w:bookmarkStart w:id="6" w:name="_Toc16482"/>
      <w:bookmarkStart w:id="7" w:name="_Toc51589552"/>
    </w:p>
    <w:p w14:paraId="332D88D5">
      <w:pPr>
        <w:widowControl/>
        <w:spacing w:line="560" w:lineRule="exact"/>
        <w:jc w:val="left"/>
        <w:rPr>
          <w:rFonts w:ascii="Times New Roman" w:hAnsi="Times New Roman" w:eastAsia="黑体" w:cs="Times New Roman"/>
          <w:b/>
          <w:bCs/>
          <w:kern w:val="44"/>
          <w:sz w:val="32"/>
          <w:szCs w:val="44"/>
        </w:rPr>
      </w:pPr>
      <w:r>
        <w:rPr>
          <w:rFonts w:ascii="Times New Roman" w:hAnsi="Times New Roman" w:eastAsia="黑体" w:cs="Times New Roman"/>
          <w:sz w:val="32"/>
        </w:rPr>
        <w:br w:type="page"/>
      </w:r>
    </w:p>
    <w:p w14:paraId="08E0069E">
      <w:pPr>
        <w:pStyle w:val="2"/>
        <w:spacing w:before="0" w:after="0" w:line="560" w:lineRule="exact"/>
        <w:ind w:firstLine="643" w:firstLineChars="200"/>
        <w:rPr>
          <w:rFonts w:ascii="Times New Roman" w:hAnsi="Times New Roman" w:eastAsia="黑体" w:cs="Times New Roman"/>
          <w:sz w:val="32"/>
          <w:szCs w:val="40"/>
        </w:rPr>
      </w:pPr>
      <w:bookmarkStart w:id="8" w:name="_Toc167288461"/>
      <w:r>
        <w:rPr>
          <w:rFonts w:ascii="Times New Roman" w:hAnsi="Times New Roman" w:eastAsia="黑体" w:cs="Times New Roman"/>
          <w:sz w:val="32"/>
        </w:rPr>
        <w:t>一、发展</w:t>
      </w:r>
      <w:bookmarkEnd w:id="5"/>
      <w:bookmarkEnd w:id="6"/>
      <w:bookmarkEnd w:id="7"/>
      <w:r>
        <w:rPr>
          <w:rFonts w:hint="eastAsia" w:ascii="Times New Roman" w:hAnsi="Times New Roman" w:eastAsia="黑体" w:cs="Times New Roman"/>
          <w:sz w:val="32"/>
        </w:rPr>
        <w:t>现状</w:t>
      </w:r>
      <w:bookmarkEnd w:id="8"/>
    </w:p>
    <w:p w14:paraId="58D242D0">
      <w:pPr>
        <w:spacing w:line="560" w:lineRule="exact"/>
        <w:ind w:firstLine="643" w:firstLineChars="200"/>
        <w:outlineLvl w:val="2"/>
        <w:rPr>
          <w:rFonts w:ascii="Times New Roman" w:hAnsi="Times New Roman" w:eastAsia="仿宋_GB2312" w:cs="Times New Roman"/>
          <w:b/>
          <w:bCs/>
          <w:sz w:val="32"/>
          <w:szCs w:val="40"/>
        </w:rPr>
      </w:pPr>
      <w:bookmarkStart w:id="9" w:name="_Hlk33714675"/>
      <w:r>
        <w:rPr>
          <w:rFonts w:hint="eastAsia" w:ascii="Times New Roman" w:hAnsi="Times New Roman" w:eastAsia="仿宋_GB2312" w:cs="Times New Roman"/>
          <w:b/>
          <w:bCs/>
          <w:sz w:val="32"/>
          <w:szCs w:val="40"/>
        </w:rPr>
        <w:t>1、</w:t>
      </w:r>
      <w:r>
        <w:rPr>
          <w:rFonts w:ascii="Times New Roman" w:hAnsi="Times New Roman" w:eastAsia="仿宋_GB2312" w:cs="Times New Roman"/>
          <w:b/>
          <w:bCs/>
          <w:sz w:val="32"/>
          <w:szCs w:val="40"/>
        </w:rPr>
        <w:t>产业规模逐步壮大</w:t>
      </w:r>
    </w:p>
    <w:p w14:paraId="1E1BF77B">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十三五”期间，我市工业经济总量稳步提升，2020年完成规模以上工业增加值35.29亿元，五年（下同）年均增长5.2%。建筑陶瓷、纺织服装和水泥建材等传统支柱产业不断优化调整，2020年陶瓷、纺织服装和水泥建材规上工业总产值分别74.86亿元、20.34亿元和12.89亿元，占全市规上工业总产值占比较2015年分别下降8.95%、4.79%和上升4.74%。先进制造业发展步伐加快，</w:t>
      </w:r>
      <w:r>
        <w:rPr>
          <w:rFonts w:ascii="Times New Roman" w:hAnsi="Times New Roman" w:eastAsia="仿宋_GB2312" w:cs="Times New Roman"/>
          <w:sz w:val="32"/>
          <w:szCs w:val="32"/>
        </w:rPr>
        <w:t>2020年先进制造业增加值7.58亿元，</w:t>
      </w:r>
      <w:r>
        <w:rPr>
          <w:rFonts w:ascii="Times New Roman" w:hAnsi="Times New Roman" w:eastAsia="仿宋_GB2312" w:cs="Times New Roman"/>
          <w:sz w:val="32"/>
          <w:szCs w:val="40"/>
        </w:rPr>
        <w:t>较2015年的6.81亿元增长了11.3个百分点；主导作用逐步提升，</w:t>
      </w:r>
      <w:r>
        <w:rPr>
          <w:rFonts w:ascii="Times New Roman" w:hAnsi="Times New Roman" w:eastAsia="仿宋_GB2312" w:cs="Times New Roman"/>
          <w:sz w:val="32"/>
          <w:szCs w:val="32"/>
        </w:rPr>
        <w:t>先进制造业增加值占规上工业增加值占比逐步提高，2020年先进制造业增加值7.58亿元、占当年规上工业增加值占比20.69%，</w:t>
      </w:r>
      <w:r>
        <w:rPr>
          <w:rFonts w:ascii="Times New Roman" w:hAnsi="Times New Roman" w:eastAsia="仿宋_GB2312" w:cs="Times New Roman"/>
          <w:sz w:val="32"/>
          <w:szCs w:val="40"/>
        </w:rPr>
        <w:t>较2015年提升了0.46个百分点。</w:t>
      </w:r>
      <w:r>
        <w:rPr>
          <w:rFonts w:ascii="Times New Roman" w:hAnsi="Times New Roman" w:eastAsia="仿宋_GB2312" w:cs="Times New Roman"/>
          <w:sz w:val="32"/>
          <w:szCs w:val="32"/>
        </w:rPr>
        <w:t>我市在传统优势制造业的基础上，着力发展新兴产业，提出聚焦机械装备制造、演艺装备制造、新材料制造三大新兴产业，加快构建现代化经济体系，推动产业高质量发展。2020年三大新兴产业集群实现规上工业总产值28.31亿元，占规上工业总产值的17.58%；机械制造业完成规上工业总产值10.64亿元，较2015年的1.68亿元增长533.33%，年均增长44.81%。</w:t>
      </w:r>
    </w:p>
    <w:p w14:paraId="7D85E7B8">
      <w:pPr>
        <w:spacing w:line="560" w:lineRule="exact"/>
        <w:ind w:firstLine="643" w:firstLineChars="200"/>
        <w:outlineLvl w:val="2"/>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2、产业平台建设日趋完善</w:t>
      </w:r>
    </w:p>
    <w:p w14:paraId="12C8A12A">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“十三五”期间，恩平工业园成为我市工业发展的主阵地，园区发展空间不断拓展，</w:t>
      </w:r>
      <w:r>
        <w:rPr>
          <w:rFonts w:ascii="Times New Roman" w:hAnsi="Times New Roman" w:eastAsia="仿宋_GB2312" w:cs="Times New Roman"/>
          <w:sz w:val="32"/>
          <w:szCs w:val="32"/>
        </w:rPr>
        <w:t>恩平工业园紧紧抓住国家推进“一带一路”建设，打造粤港澳大湾区和打造珠江西岸先进装备制造产业带的机遇，按照省示范性、五星级服务园区标准，高起点推进园区规划建设和公共基础设施配套建设。核心园区和圣堂片区已全部完成开发，大槐片区开发建设已基本完成，2020年全面完成招商，东成片区正在开展征地工作。园区员工公寓、污水处理厂和省质量监督电声产品检验站、党群服务中心、冯如小学、大槐镇中心卫生院等生产生活配套设施已投入使用，逐步实现“产城人融合”。恩平工业</w:t>
      </w:r>
      <w:r>
        <w:rPr>
          <w:rFonts w:ascii="Times New Roman" w:hAnsi="Times New Roman" w:eastAsia="仿宋_GB2312" w:cs="Times New Roman"/>
          <w:sz w:val="32"/>
          <w:szCs w:val="40"/>
        </w:rPr>
        <w:t>园不断提质升级，纳入国家开发区目录，成为我市工业经济“主战场”，规模以上工业增加值由2015年7.63亿元增加到2020年12.6亿元，占全市比重由23.1%提升到34.39%。恩平工业园高起点高标准谋划，为产业共建和协作提供高质量载体。</w:t>
      </w:r>
    </w:p>
    <w:p w14:paraId="5CFDE079">
      <w:pPr>
        <w:spacing w:line="560" w:lineRule="exact"/>
        <w:ind w:firstLine="643" w:firstLineChars="200"/>
        <w:outlineLvl w:val="2"/>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3、工业投资推动新旧动能转换</w:t>
      </w:r>
    </w:p>
    <w:p w14:paraId="56277232">
      <w:pPr>
        <w:autoSpaceDE w:val="0"/>
        <w:autoSpaceDN w:val="0"/>
        <w:adjustRightInd w:val="0"/>
        <w:spacing w:line="560" w:lineRule="exact"/>
        <w:ind w:firstLine="640" w:firstLineChars="200"/>
        <w:jc w:val="left"/>
        <w:rPr>
          <w:rFonts w:ascii="仿宋_GB2312" w:hAnsi="Times New Roman" w:eastAsia="仿宋_GB2312" w:cs="Times New Roman"/>
          <w:sz w:val="32"/>
          <w:szCs w:val="40"/>
        </w:rPr>
      </w:pPr>
      <w:r>
        <w:rPr>
          <w:rFonts w:ascii="Times New Roman" w:hAnsi="Times New Roman" w:eastAsia="仿宋_GB2312" w:cs="Times New Roman"/>
          <w:sz w:val="32"/>
          <w:szCs w:val="40"/>
        </w:rPr>
        <w:t>“十三五”期间，我市工业投资持续增长，先进制造业项目落地数量和质量大幅提高。</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，全市洽谈引进先进制造</w:t>
      </w:r>
      <w:r>
        <w:rPr>
          <w:rFonts w:hint="eastAsia" w:ascii="仿宋_GB2312" w:hAnsi="Times New Roman" w:eastAsia="仿宋_GB2312" w:cs="Times New Roman"/>
          <w:sz w:val="32"/>
          <w:szCs w:val="32"/>
        </w:rPr>
        <w:t>业项目104个，投资额146.1亿元，其中，超亿元项目53个，投资额118.77亿元。</w:t>
      </w:r>
      <w:r>
        <w:rPr>
          <w:rFonts w:hint="eastAsia" w:ascii="仿宋_GB2312" w:hAnsi="Times New Roman" w:eastAsia="仿宋_GB2312" w:cs="Times New Roman"/>
          <w:sz w:val="32"/>
          <w:szCs w:val="40"/>
        </w:rPr>
        <w:t>锦兴纺织、道氏技术、宝索机械、百强陶瓷、新锦成陶瓷和嘉俊陶瓷等重大制造项目为全市经济发展增强后劲。工业投资、技改投资保持较快增长速度，2016-2020年全市完成工业投资308亿元和工业技改投资117亿元，推动新旧动能转换进程加快。</w:t>
      </w:r>
    </w:p>
    <w:p w14:paraId="08A563DB">
      <w:pPr>
        <w:spacing w:line="560" w:lineRule="exact"/>
        <w:ind w:firstLine="643" w:firstLineChars="200"/>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4、</w:t>
      </w:r>
      <w:r>
        <w:rPr>
          <w:rFonts w:ascii="Times New Roman" w:hAnsi="Times New Roman" w:eastAsia="仿宋_GB2312" w:cs="Times New Roman"/>
          <w:b/>
          <w:sz w:val="32"/>
          <w:szCs w:val="32"/>
        </w:rPr>
        <w:t>创新发展形成新动能</w:t>
      </w:r>
    </w:p>
    <w:p w14:paraId="4A98D3A0">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40"/>
        </w:rPr>
        <w:t>“十三五”期间，我市制造业创新主体与平台数量快速增长，创新成果不断涌现。2020年，高新技术企业数量为92家，较2015年的9家增长超过922.22%；先进制造业增加值7.58亿元，占规模以上工业增加值的20.69%；高技术制造业增加值为1.97亿元，占规模以上工业增加值的5.37%；全市共授权专利3826件，其中发明专利77件。全市建成省级以上创新平台17个（其中省级技术中心3个）、博士工作站2家，</w:t>
      </w:r>
      <w:r>
        <w:rPr>
          <w:rFonts w:ascii="Times New Roman" w:hAnsi="Times New Roman" w:eastAsia="仿宋_GB2312" w:cs="Times New Roman"/>
          <w:spacing w:val="-4"/>
          <w:sz w:val="32"/>
          <w:szCs w:val="32"/>
        </w:rPr>
        <w:t>江门市工程技术研究中心67家，江门市新型研发机构1家，</w:t>
      </w:r>
      <w:r>
        <w:rPr>
          <w:rFonts w:ascii="Times New Roman" w:hAnsi="Times New Roman" w:eastAsia="仿宋_GB2312" w:cs="Times New Roman"/>
          <w:sz w:val="32"/>
          <w:szCs w:val="32"/>
        </w:rPr>
        <w:t>规模以上工业企业研发机构覆盖率提升至60.17%，主营业务5亿元以上工业企业研发机构实现全覆盖。全市累计建成科技企业孵化器2个，孵化器面积2.5万平方米，面积同比增长25%，建成众创空间3家，从创空间面积0.4万平方米。</w:t>
      </w:r>
    </w:p>
    <w:p w14:paraId="35C30491">
      <w:pPr>
        <w:spacing w:line="560" w:lineRule="exact"/>
        <w:ind w:firstLine="643" w:firstLineChars="200"/>
        <w:outlineLvl w:val="2"/>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5、“互联网+”行动成效明显</w:t>
      </w:r>
    </w:p>
    <w:p w14:paraId="118B7875">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40"/>
        </w:rPr>
        <w:t>“十三五”期间，全市信息基础设施建设提速，积极推进工业互联网应用。</w:t>
      </w:r>
      <w:r>
        <w:rPr>
          <w:rFonts w:ascii="Times New Roman" w:hAnsi="Times New Roman" w:eastAsia="仿宋_GB2312" w:cs="Times New Roman"/>
          <w:kern w:val="0"/>
          <w:sz w:val="32"/>
          <w:szCs w:val="32"/>
        </w:rPr>
        <w:t>以云计算、物联网、大数据为代表的新一代信息技术与制造业等的融合创新不断推进，云服务、大数据业务在政府、企业、社会各个领域的应用不断深化，信息技术与制造业深度融合不断加快，生产制造向数字化、网络化、智能化发展稳步推进。</w:t>
      </w:r>
      <w:r>
        <w:rPr>
          <w:rFonts w:ascii="Times New Roman" w:hAnsi="Times New Roman" w:eastAsia="仿宋_GB2312" w:cs="Times New Roman"/>
          <w:sz w:val="32"/>
          <w:szCs w:val="40"/>
        </w:rPr>
        <w:t>组织开展政策培训，协助我市12家企业享受省“上云上平台”政策扶持。</w:t>
      </w:r>
      <w:r>
        <w:rPr>
          <w:rFonts w:ascii="Times New Roman" w:hAnsi="Times New Roman" w:eastAsia="仿宋_GB2312" w:cs="Times New Roman"/>
          <w:kern w:val="0"/>
          <w:sz w:val="32"/>
          <w:szCs w:val="32"/>
        </w:rPr>
        <w:t>高速宽带网络建设成效显著，“全光网城市”建设稳步推进，基本实现光纤网络全覆盖。电子政务体系建设不断推进，政务微博、微信新媒体服务平台取得重大进展，全社会信息化应用水平进一步提升。至2020年，已建成5G基站320座，移动宽带普及率及光纤入户率分别为98%和95%。</w:t>
      </w:r>
    </w:p>
    <w:p w14:paraId="7BA11EB2">
      <w:pPr>
        <w:adjustRightInd w:val="0"/>
        <w:spacing w:line="560" w:lineRule="exact"/>
        <w:ind w:firstLine="643" w:firstLineChars="200"/>
        <w:rPr>
          <w:rFonts w:ascii="Times New Roman" w:hAnsi="Times New Roman" w:eastAsia="仿宋_GB2312" w:cs="Times New Roman"/>
          <w:b/>
        </w:rPr>
      </w:pPr>
      <w:r>
        <w:rPr>
          <w:rFonts w:ascii="Times New Roman" w:hAnsi="Times New Roman" w:eastAsia="仿宋_GB2312" w:cs="Times New Roman"/>
          <w:b/>
          <w:bCs/>
          <w:sz w:val="32"/>
          <w:szCs w:val="40"/>
        </w:rPr>
        <w:t>6、</w:t>
      </w:r>
      <w:r>
        <w:rPr>
          <w:rFonts w:ascii="Times New Roman" w:hAnsi="Times New Roman" w:eastAsia="仿宋_GB2312" w:cs="Times New Roman"/>
          <w:b/>
          <w:kern w:val="0"/>
          <w:sz w:val="32"/>
          <w:szCs w:val="32"/>
        </w:rPr>
        <w:t>绿色发展全面推进</w:t>
      </w:r>
    </w:p>
    <w:p w14:paraId="2DDFBCD4">
      <w:pPr>
        <w:adjustRightInd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“十三五”期间，我市深入实施三年环保攻坚战计划，</w:t>
      </w:r>
      <w:r>
        <w:rPr>
          <w:rFonts w:ascii="Times New Roman" w:hAnsi="Times New Roman" w:eastAsia="仿宋_GB2312" w:cs="Times New Roman"/>
          <w:sz w:val="32"/>
          <w:szCs w:val="32"/>
        </w:rPr>
        <w:t>深入开展散乱污整治，完成“散乱污”工业企业综合整治企业125家，完成率为100%。实施工业节能减排重点工程项目，全面推进企业“煤改气”工程和电机能效提升计划，</w:t>
      </w:r>
      <w:r>
        <w:rPr>
          <w:rFonts w:ascii="Times New Roman" w:hAnsi="Times New Roman" w:eastAsia="仿宋_GB2312" w:cs="Times New Roman"/>
          <w:sz w:val="32"/>
          <w:szCs w:val="40"/>
        </w:rPr>
        <w:t>企业节能减排成效凸显，2016-2020年单位工业增加值能耗年均下降8.83%，2020年全市单位GDP用电量为1528千瓦时/万元，较2015年下降5.12%，2020年全市单位GDP用水量为20.12立方米/万元，低于全国和全省平均水平。绿色化循环化引领发展，</w:t>
      </w:r>
      <w:bookmarkStart w:id="10" w:name="_Toc30145"/>
      <w:bookmarkStart w:id="11" w:name="_Toc4867"/>
      <w:r>
        <w:rPr>
          <w:rFonts w:ascii="Times New Roman" w:hAnsi="Times New Roman" w:eastAsia="仿宋_GB2312" w:cs="Times New Roman"/>
          <w:kern w:val="0"/>
          <w:sz w:val="32"/>
          <w:szCs w:val="32"/>
        </w:rPr>
        <w:t>深入推进华新水泥窑协同处置工业固废项目建设。</w:t>
      </w:r>
      <w:r>
        <w:rPr>
          <w:rFonts w:ascii="Times New Roman" w:hAnsi="Times New Roman" w:eastAsia="仿宋_GB2312" w:cs="Times New Roman"/>
          <w:sz w:val="32"/>
          <w:szCs w:val="40"/>
        </w:rPr>
        <w:t>全市共有省级、江门市级清洁生产企业32家，其中省级清洁生产企业8家，</w:t>
      </w:r>
      <w:r>
        <w:rPr>
          <w:rFonts w:ascii="Times New Roman" w:hAnsi="Times New Roman" w:eastAsia="仿宋_GB2312" w:cs="Times New Roman"/>
          <w:kern w:val="0"/>
          <w:sz w:val="32"/>
          <w:szCs w:val="32"/>
        </w:rPr>
        <w:t>完成“十三五”目标任务的128%。</w:t>
      </w:r>
    </w:p>
    <w:bookmarkEnd w:id="10"/>
    <w:bookmarkEnd w:id="11"/>
    <w:p w14:paraId="4CBAA826">
      <w:pPr>
        <w:spacing w:line="560" w:lineRule="exact"/>
        <w:ind w:firstLine="640" w:firstLineChars="200"/>
        <w:rPr>
          <w:rFonts w:ascii="Times New Roman" w:hAnsi="Times New Roman" w:eastAsia="仿宋_GB2312" w:cs="Times New Roman"/>
          <w:sz w:val="32"/>
          <w:szCs w:val="32"/>
        </w:rPr>
      </w:pPr>
      <w:bookmarkStart w:id="12" w:name="_Toc51589555"/>
      <w:bookmarkStart w:id="13" w:name="_Toc26172"/>
      <w:bookmarkStart w:id="14" w:name="_Toc1822"/>
      <w:r>
        <w:rPr>
          <w:rFonts w:hint="eastAsia" w:ascii="仿宋_GB2312" w:hAnsi="Times New Roman" w:eastAsia="仿宋_GB2312" w:cs="Times New Roman"/>
          <w:bCs/>
          <w:sz w:val="32"/>
          <w:szCs w:val="40"/>
        </w:rPr>
        <w:t>“十三五”期间，我市制造业发展取得巨大成就，但仍存在不少问题。</w:t>
      </w:r>
      <w:r>
        <w:rPr>
          <w:rFonts w:hint="eastAsia" w:ascii="Times New Roman" w:hAnsi="Times New Roman" w:eastAsia="楷体_GB2312" w:cs="Times New Roman"/>
          <w:b/>
          <w:bCs/>
          <w:sz w:val="32"/>
          <w:szCs w:val="40"/>
        </w:rPr>
        <w:t>一是</w:t>
      </w:r>
      <w:r>
        <w:rPr>
          <w:rFonts w:ascii="Times New Roman" w:hAnsi="Times New Roman" w:eastAsia="仿宋_GB2312" w:cs="Times New Roman"/>
          <w:b/>
          <w:kern w:val="0"/>
          <w:sz w:val="32"/>
          <w:szCs w:val="32"/>
        </w:rPr>
        <w:t>经济发展基础薄弱</w:t>
      </w:r>
      <w:r>
        <w:rPr>
          <w:rFonts w:hint="eastAsia" w:ascii="Times New Roman" w:hAnsi="Times New Roman" w:eastAsia="仿宋_GB2312" w:cs="Times New Roman"/>
          <w:b/>
          <w:kern w:val="0"/>
          <w:sz w:val="32"/>
          <w:szCs w:val="32"/>
        </w:rPr>
        <w:t>。</w:t>
      </w:r>
      <w:r>
        <w:rPr>
          <w:rFonts w:ascii="Times New Roman" w:hAnsi="Times New Roman" w:eastAsia="仿宋_GB2312" w:cs="Times New Roman"/>
          <w:kern w:val="0"/>
          <w:sz w:val="32"/>
          <w:szCs w:val="32"/>
        </w:rPr>
        <w:t>经济总量仍然偏小，不平衡不充分发展的矛盾非常突出，经济总量和人均GDP水平在江门各市区中均居末位；经济结构不够合理，新兴产业和现代服务业发展滞后；支柱产业不强，产业发展多处于分工链条的中低端，多数产品市场占有率不高，竞争力弱；经济发展质量不高、效益偏低、动力转换滞后；对外开放程度不高，开放型经济功能还很欠缺</w:t>
      </w:r>
      <w:r>
        <w:rPr>
          <w:rFonts w:ascii="Times New Roman" w:hAnsi="Times New Roman" w:eastAsia="仿宋_GB2312" w:cs="Times New Roman"/>
          <w:sz w:val="32"/>
          <w:szCs w:val="32"/>
        </w:rPr>
        <w:t>。</w:t>
      </w:r>
      <w:r>
        <w:rPr>
          <w:rFonts w:ascii="Times New Roman" w:hAnsi="Times New Roman" w:eastAsia="仿宋_GB2312" w:cs="Times New Roman"/>
          <w:sz w:val="32"/>
          <w:szCs w:val="40"/>
        </w:rPr>
        <w:t>全市规模以上工业整体发展水平不高、增速有所放缓。“十三五”期间，全市规模以上工业企业实现增加值、营业收入、利润总额等各项指标在江门市处于中下水平，在四市三区的排名靠后。规模以上工业产品销售率、全员劳动生产率、总资产贡献率、成本费用利润率等效率指标有所下降，企业亏损额有所扩大，经济增长方式有待转变。</w:t>
      </w:r>
      <w:r>
        <w:rPr>
          <w:rFonts w:hint="eastAsia" w:ascii="Times New Roman" w:hAnsi="Times New Roman" w:eastAsia="仿宋_GB2312" w:cs="Times New Roman"/>
          <w:b/>
          <w:sz w:val="32"/>
          <w:szCs w:val="40"/>
        </w:rPr>
        <w:t>二是</w:t>
      </w:r>
      <w:r>
        <w:rPr>
          <w:rFonts w:ascii="Times New Roman" w:hAnsi="Times New Roman" w:eastAsia="仿宋_GB2312" w:cs="Times New Roman"/>
          <w:b/>
          <w:bCs/>
          <w:sz w:val="32"/>
          <w:szCs w:val="40"/>
        </w:rPr>
        <w:t>产业集群竞争能力薄弱</w:t>
      </w:r>
      <w:r>
        <w:rPr>
          <w:rFonts w:hint="eastAsia" w:ascii="Times New Roman" w:hAnsi="Times New Roman" w:eastAsia="仿宋_GB2312" w:cs="Times New Roman"/>
          <w:b/>
          <w:bCs/>
          <w:sz w:val="32"/>
          <w:szCs w:val="40"/>
        </w:rPr>
        <w:t>。</w:t>
      </w:r>
      <w:r>
        <w:rPr>
          <w:rFonts w:ascii="Times New Roman" w:hAnsi="Times New Roman" w:eastAsia="仿宋_GB2312" w:cs="Times New Roman"/>
          <w:sz w:val="32"/>
          <w:szCs w:val="32"/>
        </w:rPr>
        <w:t>我市产业结构不够合理，</w:t>
      </w:r>
      <w:r>
        <w:rPr>
          <w:rFonts w:ascii="Times New Roman" w:hAnsi="Times New Roman" w:eastAsia="仿宋_GB2312" w:cs="Times New Roman"/>
          <w:sz w:val="32"/>
          <w:szCs w:val="40"/>
        </w:rPr>
        <w:t>产业结构仍以传统产业为主，</w:t>
      </w:r>
      <w:r>
        <w:rPr>
          <w:rFonts w:ascii="Times New Roman" w:hAnsi="Times New Roman" w:eastAsia="仿宋_GB2312" w:cs="Times New Roman"/>
          <w:sz w:val="32"/>
          <w:szCs w:val="32"/>
        </w:rPr>
        <w:t>新兴产业发展滞后，</w:t>
      </w:r>
      <w:r>
        <w:rPr>
          <w:rFonts w:ascii="Times New Roman" w:hAnsi="Times New Roman" w:eastAsia="仿宋_GB2312" w:cs="Times New Roman"/>
          <w:sz w:val="32"/>
          <w:szCs w:val="40"/>
        </w:rPr>
        <w:t>新兴产业的支柱作用尚未显现。</w:t>
      </w:r>
      <w:r>
        <w:rPr>
          <w:rFonts w:ascii="Times New Roman" w:hAnsi="Times New Roman" w:eastAsia="仿宋_GB2312" w:cs="Times New Roman"/>
          <w:sz w:val="32"/>
          <w:szCs w:val="32"/>
        </w:rPr>
        <w:t>目前我市的主要产业</w:t>
      </w:r>
      <w:r>
        <w:rPr>
          <w:rFonts w:ascii="Times New Roman" w:hAnsi="Times New Roman" w:eastAsia="仿宋_GB2312" w:cs="Times New Roman"/>
          <w:sz w:val="32"/>
        </w:rPr>
        <w:t>陶瓷、纺织服装、水泥建材等传统支柱产业</w:t>
      </w:r>
      <w:r>
        <w:rPr>
          <w:rFonts w:ascii="Times New Roman" w:hAnsi="Times New Roman" w:eastAsia="仿宋_GB2312" w:cs="Times New Roman"/>
          <w:sz w:val="32"/>
          <w:szCs w:val="32"/>
        </w:rPr>
        <w:t>所占比重较大</w:t>
      </w:r>
      <w:r>
        <w:rPr>
          <w:rFonts w:ascii="Times New Roman" w:hAnsi="Times New Roman" w:eastAsia="仿宋_GB2312" w:cs="Times New Roman"/>
          <w:sz w:val="32"/>
        </w:rPr>
        <w:t>，2020年全市传统产业实现规模以上工业增加值22.57亿元，占全市规上工业增加值高达61.62%，远高于先进制造业（20.69%）与高技术产业（5.37%）的比重。</w:t>
      </w:r>
      <w:r>
        <w:rPr>
          <w:rFonts w:ascii="Times New Roman" w:hAnsi="Times New Roman" w:eastAsia="仿宋_GB2312" w:cs="Times New Roman"/>
          <w:sz w:val="32"/>
          <w:szCs w:val="40"/>
        </w:rPr>
        <w:t>近年来，我市先进制造业领域引入的大企业、大项目数量不多，仍然缺乏实力强劲、能够充分整合制造业产业链配套资源的龙头企业，产业链上下游企业协同合作关系不够紧密。</w:t>
      </w:r>
      <w:r>
        <w:rPr>
          <w:rFonts w:hint="eastAsia" w:ascii="Times New Roman" w:hAnsi="Times New Roman" w:eastAsia="仿宋_GB2312" w:cs="Times New Roman"/>
          <w:b/>
          <w:sz w:val="32"/>
          <w:szCs w:val="40"/>
        </w:rPr>
        <w:t>三是</w:t>
      </w:r>
      <w:r>
        <w:rPr>
          <w:rFonts w:ascii="Times New Roman" w:hAnsi="Times New Roman" w:eastAsia="仿宋_GB2312" w:cs="Times New Roman"/>
          <w:b/>
          <w:bCs/>
          <w:sz w:val="32"/>
          <w:szCs w:val="40"/>
        </w:rPr>
        <w:t>创新驱动发展能力不强</w:t>
      </w:r>
      <w:r>
        <w:rPr>
          <w:rFonts w:hint="eastAsia" w:ascii="Times New Roman" w:hAnsi="Times New Roman" w:eastAsia="仿宋_GB2312" w:cs="Times New Roman"/>
          <w:b/>
          <w:bCs/>
          <w:sz w:val="32"/>
          <w:szCs w:val="40"/>
        </w:rPr>
        <w:t>。</w:t>
      </w:r>
      <w:r>
        <w:rPr>
          <w:rFonts w:ascii="Times New Roman" w:hAnsi="Times New Roman" w:eastAsia="仿宋_GB2312" w:cs="Times New Roman"/>
          <w:sz w:val="32"/>
          <w:szCs w:val="40"/>
        </w:rPr>
        <w:t>我市制造业企业整体自主创新能力较弱，创新驱动力不足，2020年企业研发投入力度、拥有R&amp;D人员数量、新产品产值规模及发明专利申请量和授权量等创新指标与省、江门市具有一定差距。制造业发展层次不高，</w:t>
      </w:r>
      <w:r>
        <w:rPr>
          <w:rFonts w:ascii="Times New Roman" w:hAnsi="Times New Roman" w:eastAsia="仿宋_GB2312" w:cs="Times New Roman"/>
          <w:sz w:val="32"/>
          <w:szCs w:val="32"/>
        </w:rPr>
        <w:t>支柱产业不强，产业发展多处于分工链条的中低端，多数产品市场占有率不高，竞争力弱。缺少产业核心技术，</w:t>
      </w:r>
      <w:r>
        <w:rPr>
          <w:rFonts w:ascii="Times New Roman" w:hAnsi="Times New Roman" w:eastAsia="仿宋_GB2312" w:cs="Times New Roman"/>
          <w:sz w:val="32"/>
          <w:szCs w:val="40"/>
        </w:rPr>
        <w:t>大部分企业以技术引进、技术购买、代工生产为主，产品处于价值链低端环节，部分行业关键技术、核心零部件、销售市场严重依赖国外，“卡脖子”问题突出，自主创新能力与意愿不强。我市制造业创新人才集聚度不高，产学研联动机制和技术转化平台建设有待完善。</w:t>
      </w:r>
      <w:r>
        <w:rPr>
          <w:rFonts w:hint="eastAsia" w:ascii="Times New Roman" w:hAnsi="Times New Roman" w:eastAsia="仿宋_GB2312" w:cs="Times New Roman"/>
          <w:b/>
          <w:sz w:val="32"/>
          <w:szCs w:val="40"/>
        </w:rPr>
        <w:t>四是</w:t>
      </w:r>
      <w:r>
        <w:rPr>
          <w:rFonts w:ascii="Times New Roman" w:hAnsi="Times New Roman" w:eastAsia="仿宋_GB2312" w:cs="Times New Roman"/>
          <w:b/>
          <w:bCs/>
          <w:sz w:val="32"/>
          <w:szCs w:val="40"/>
        </w:rPr>
        <w:t>服务供给体系有待完善</w:t>
      </w:r>
      <w:r>
        <w:rPr>
          <w:rFonts w:hint="eastAsia" w:ascii="Times New Roman" w:hAnsi="Times New Roman" w:eastAsia="仿宋_GB2312" w:cs="Times New Roman"/>
          <w:b/>
          <w:bCs/>
          <w:sz w:val="32"/>
          <w:szCs w:val="40"/>
        </w:rPr>
        <w:t>。</w:t>
      </w:r>
      <w:r>
        <w:rPr>
          <w:rFonts w:ascii="Times New Roman" w:hAnsi="Times New Roman" w:eastAsia="仿宋_GB2312" w:cs="Times New Roman"/>
          <w:sz w:val="32"/>
          <w:szCs w:val="32"/>
        </w:rPr>
        <w:t>我市现代服务业发展滞后，</w:t>
      </w:r>
      <w:r>
        <w:rPr>
          <w:rFonts w:ascii="Times New Roman" w:hAnsi="Times New Roman" w:eastAsia="仿宋_GB2312" w:cs="Times New Roman"/>
          <w:sz w:val="32"/>
          <w:szCs w:val="40"/>
        </w:rPr>
        <w:t>生产性服务业尚未形成门类齐全、服务专业、优质高效的本地供给体系，与制造业的配合度不够，大部分中小企业所需信息、技术、融资等各类社会化、专业化服务得不到满足。以机械装备制造业为例，我市缺失原材料、零配件的批发采购市场、物流供应链配套设施、金融服务、公共服务平台等产业配套，</w:t>
      </w:r>
      <w:r>
        <w:rPr>
          <w:rFonts w:ascii="Times New Roman" w:hAnsi="Times New Roman" w:eastAsia="仿宋_GB2312" w:cs="Times New Roman"/>
          <w:sz w:val="32"/>
          <w:szCs w:val="32"/>
        </w:rPr>
        <w:t>上游行业钢材和五金配件本地产量未能满足需求，采购平台缺失，</w:t>
      </w:r>
      <w:r>
        <w:rPr>
          <w:rFonts w:ascii="Times New Roman" w:hAnsi="Times New Roman" w:eastAsia="仿宋_GB2312" w:cs="Times New Roman"/>
          <w:sz w:val="32"/>
          <w:szCs w:val="40"/>
        </w:rPr>
        <w:t>企业信息成本、融资成本、物流成本、商务成本相对较高，生产性服务业对先进制造业的融合程度较低，支撑力度明显不足。</w:t>
      </w:r>
      <w:r>
        <w:rPr>
          <w:rFonts w:ascii="Times New Roman" w:hAnsi="Times New Roman" w:eastAsia="仿宋_GB2312" w:cs="Times New Roman"/>
          <w:sz w:val="32"/>
          <w:szCs w:val="32"/>
        </w:rPr>
        <w:t>下游终端产品制造企业招商不足，产品的关联度和互补性有待提高，配套加工、物流企业不足增加行业企业运营成本。</w:t>
      </w:r>
      <w:r>
        <w:rPr>
          <w:rFonts w:hint="eastAsia" w:ascii="Times New Roman" w:hAnsi="Times New Roman" w:eastAsia="仿宋_GB2312" w:cs="Times New Roman"/>
          <w:b/>
          <w:sz w:val="32"/>
          <w:szCs w:val="32"/>
        </w:rPr>
        <w:t>五是</w:t>
      </w:r>
      <w:r>
        <w:rPr>
          <w:rFonts w:ascii="Times New Roman" w:hAnsi="Times New Roman" w:eastAsia="仿宋_GB2312" w:cs="Times New Roman"/>
          <w:b/>
          <w:bCs/>
          <w:sz w:val="32"/>
          <w:szCs w:val="40"/>
        </w:rPr>
        <w:t>人力资源短缺问题严峻</w:t>
      </w:r>
      <w:r>
        <w:rPr>
          <w:rFonts w:hint="eastAsia" w:ascii="Times New Roman" w:hAnsi="Times New Roman" w:eastAsia="仿宋_GB2312" w:cs="Times New Roman"/>
          <w:b/>
          <w:bCs/>
          <w:sz w:val="32"/>
          <w:szCs w:val="40"/>
        </w:rPr>
        <w:t>。</w:t>
      </w:r>
      <w:r>
        <w:rPr>
          <w:rFonts w:ascii="Times New Roman" w:hAnsi="Times New Roman" w:eastAsia="仿宋_GB2312" w:cs="Times New Roman"/>
          <w:sz w:val="32"/>
          <w:szCs w:val="32"/>
        </w:rPr>
        <w:t>人才队伍结构尚未完善，中青年技术骨干太少，高素质、高层次人才总量不足，全市重点行业领军人物或学术带头人等拔尖人才稀缺。人才队伍创新能力不够，科技成果转化速度不快，我市科技研发投入比重低于</w:t>
      </w:r>
      <w:r>
        <w:rPr>
          <w:rFonts w:hint="eastAsia" w:ascii="Times New Roman" w:hAnsi="Times New Roman" w:eastAsia="仿宋_GB2312" w:cs="Times New Roman"/>
          <w:sz w:val="32"/>
          <w:szCs w:val="32"/>
        </w:rPr>
        <w:t>江门市</w:t>
      </w:r>
      <w:r>
        <w:rPr>
          <w:rFonts w:ascii="Times New Roman" w:hAnsi="Times New Roman" w:eastAsia="仿宋_GB2312" w:cs="Times New Roman"/>
          <w:sz w:val="32"/>
          <w:szCs w:val="32"/>
        </w:rPr>
        <w:t>平均水平，企业科技创新品牌所需的技术、资金、人才缺乏，服务平台支撑能力不强，成为制约企业和产业发展的突出瓶颈。</w:t>
      </w:r>
    </w:p>
    <w:p w14:paraId="2B3DC577">
      <w:pPr>
        <w:pStyle w:val="2"/>
        <w:spacing w:before="0" w:after="0" w:line="560" w:lineRule="exact"/>
        <w:ind w:firstLine="643" w:firstLineChars="200"/>
        <w:rPr>
          <w:rFonts w:ascii="Times New Roman" w:hAnsi="Times New Roman" w:eastAsia="黑体" w:cs="Times New Roman"/>
          <w:sz w:val="32"/>
        </w:rPr>
      </w:pPr>
      <w:bookmarkStart w:id="15" w:name="_Toc167288462"/>
      <w:r>
        <w:rPr>
          <w:rFonts w:ascii="Times New Roman" w:hAnsi="Times New Roman" w:eastAsia="黑体" w:cs="Times New Roman"/>
          <w:sz w:val="32"/>
        </w:rPr>
        <w:t>二、发展形势</w:t>
      </w:r>
      <w:bookmarkEnd w:id="12"/>
      <w:bookmarkEnd w:id="13"/>
      <w:bookmarkEnd w:id="14"/>
      <w:bookmarkEnd w:id="15"/>
    </w:p>
    <w:p w14:paraId="65D61302">
      <w:pPr>
        <w:tabs>
          <w:tab w:val="left" w:pos="0"/>
        </w:tabs>
        <w:spacing w:line="560" w:lineRule="exact"/>
        <w:ind w:left="840"/>
        <w:outlineLvl w:val="1"/>
        <w:rPr>
          <w:rFonts w:ascii="Times New Roman" w:hAnsi="Times New Roman" w:eastAsia="楷体_GB2312" w:cs="Times New Roman"/>
          <w:b/>
          <w:bCs/>
          <w:sz w:val="32"/>
          <w:szCs w:val="40"/>
        </w:rPr>
      </w:pPr>
      <w:bookmarkStart w:id="16" w:name="_Toc167288463"/>
      <w:bookmarkStart w:id="17" w:name="_Toc25276"/>
      <w:bookmarkStart w:id="18" w:name="_Toc51589557"/>
      <w:bookmarkStart w:id="19" w:name="_Toc11037"/>
      <w:bookmarkStart w:id="20" w:name="_Toc51589556"/>
      <w:bookmarkStart w:id="21" w:name="_Toc2503"/>
      <w:bookmarkStart w:id="22" w:name="_Toc17791"/>
      <w:r>
        <w:rPr>
          <w:rFonts w:hint="eastAsia" w:ascii="Times New Roman" w:hAnsi="Times New Roman" w:eastAsia="楷体_GB2312" w:cs="Times New Roman"/>
          <w:b/>
          <w:bCs/>
          <w:sz w:val="32"/>
          <w:szCs w:val="40"/>
        </w:rPr>
        <w:t>（一）</w:t>
      </w:r>
      <w:r>
        <w:rPr>
          <w:rFonts w:ascii="Times New Roman" w:hAnsi="Times New Roman" w:eastAsia="楷体_GB2312" w:cs="Times New Roman"/>
          <w:b/>
          <w:bCs/>
          <w:sz w:val="32"/>
          <w:szCs w:val="40"/>
        </w:rPr>
        <w:t>面临挑战</w:t>
      </w:r>
      <w:bookmarkEnd w:id="16"/>
      <w:bookmarkEnd w:id="17"/>
      <w:bookmarkEnd w:id="18"/>
      <w:bookmarkEnd w:id="19"/>
    </w:p>
    <w:p w14:paraId="75F0D566">
      <w:pPr>
        <w:pStyle w:val="34"/>
        <w:ind w:firstLine="640"/>
        <w:rPr>
          <w:b/>
          <w:bCs/>
          <w:szCs w:val="40"/>
        </w:rPr>
      </w:pPr>
      <w:r>
        <w:t>“十四五”期间，我市同时面临加快总量提升和促进经济高质量发展的双重挑战。</w:t>
      </w:r>
    </w:p>
    <w:p w14:paraId="7C55E834">
      <w:pPr>
        <w:spacing w:line="560" w:lineRule="exact"/>
        <w:ind w:firstLine="643" w:firstLineChars="200"/>
        <w:outlineLvl w:val="2"/>
        <w:rPr>
          <w:rFonts w:ascii="Times New Roman" w:hAnsi="Times New Roman" w:eastAsia="仿宋_GB2312" w:cs="Times New Roman"/>
          <w:b/>
          <w:bCs/>
          <w:sz w:val="32"/>
          <w:szCs w:val="40"/>
        </w:rPr>
      </w:pPr>
      <w:bookmarkStart w:id="23" w:name="_Toc31970628"/>
      <w:bookmarkStart w:id="24" w:name="_Toc31985331"/>
      <w:r>
        <w:rPr>
          <w:rFonts w:ascii="Times New Roman" w:hAnsi="Times New Roman" w:eastAsia="仿宋_GB2312" w:cs="Times New Roman"/>
          <w:b/>
          <w:bCs/>
          <w:sz w:val="32"/>
          <w:szCs w:val="40"/>
        </w:rPr>
        <w:t>1、应对国际贸易局势</w:t>
      </w:r>
      <w:bookmarkEnd w:id="23"/>
      <w:bookmarkEnd w:id="24"/>
      <w:r>
        <w:rPr>
          <w:rFonts w:ascii="Times New Roman" w:hAnsi="Times New Roman" w:eastAsia="仿宋_GB2312" w:cs="Times New Roman"/>
          <w:b/>
          <w:bCs/>
          <w:sz w:val="32"/>
          <w:szCs w:val="40"/>
        </w:rPr>
        <w:t>不明朗的挑战</w:t>
      </w:r>
    </w:p>
    <w:p w14:paraId="2994237A">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近年来全球经济持续放缓，中美贸易前景不明朗，海外疫情蔓延影响持续等多重因素交织，“十四五”期间全球贸易紧张局势仍然持续存在，全球技术供应链将受到威胁，在部分产业领域还面临着关键材料、设备、零配件和技术“卡脖子”的风险。我市制造业具有外向型特点，贸易摩擦对我市先进制造业需求侧的传递影响较大，随时可能面临“断链”、“断供”的威胁，对相关配套企业产生连锁负面影响，企业出口效益降低，外向型中小规模制造业企业经营风险加剧，我市纺织服装、电声器材等外向型企业外贸依赖性高，更容易受国外因素的冲击，为我市产业经济持续稳定发展带来极大挑战。</w:t>
      </w:r>
    </w:p>
    <w:p w14:paraId="6D4EAAE4">
      <w:pPr>
        <w:spacing w:line="560" w:lineRule="exact"/>
        <w:ind w:firstLine="643" w:firstLineChars="200"/>
        <w:outlineLvl w:val="2"/>
        <w:rPr>
          <w:rFonts w:ascii="Times New Roman" w:hAnsi="Times New Roman" w:eastAsia="仿宋_GB2312" w:cs="Times New Roman"/>
          <w:bCs/>
          <w:sz w:val="32"/>
          <w:szCs w:val="32"/>
        </w:rPr>
      </w:pPr>
      <w:r>
        <w:rPr>
          <w:rFonts w:ascii="Times New Roman" w:hAnsi="Times New Roman" w:eastAsia="仿宋_GB2312" w:cs="Times New Roman"/>
          <w:b/>
          <w:bCs/>
          <w:sz w:val="32"/>
          <w:szCs w:val="40"/>
        </w:rPr>
        <w:t>2、应对产业结构优化调整的挑战</w:t>
      </w:r>
    </w:p>
    <w:p w14:paraId="6DCAC2A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2020年全市规模以上工业企业仅有125家，规模以上工业总产值161.05亿元，</w:t>
      </w:r>
      <w:r>
        <w:rPr>
          <w:rFonts w:ascii="Times New Roman" w:hAnsi="Times New Roman" w:eastAsia="仿宋_GB2312" w:cs="Times New Roman"/>
          <w:sz w:val="32"/>
          <w:szCs w:val="32"/>
        </w:rPr>
        <w:t>增加值35.29亿元，</w:t>
      </w:r>
      <w:r>
        <w:rPr>
          <w:rFonts w:ascii="Times New Roman" w:hAnsi="Times New Roman" w:eastAsia="仿宋_GB2312" w:cs="Times New Roman"/>
          <w:bCs/>
          <w:sz w:val="32"/>
          <w:szCs w:val="32"/>
        </w:rPr>
        <w:t>企业规模普遍较小，工业总产值10亿元以上企业仅有锦兴纺织、百强陶瓷和新锦成陶瓷3家。产业集群</w:t>
      </w:r>
      <w:r>
        <w:rPr>
          <w:rFonts w:hint="eastAsia" w:ascii="Times New Roman" w:hAnsi="Times New Roman" w:eastAsia="仿宋_GB2312" w:cs="Times New Roman"/>
          <w:bCs/>
          <w:sz w:val="32"/>
          <w:szCs w:val="32"/>
        </w:rPr>
        <w:t>竞</w:t>
      </w:r>
      <w:r>
        <w:rPr>
          <w:rFonts w:ascii="Times New Roman" w:hAnsi="Times New Roman" w:eastAsia="仿宋_GB2312" w:cs="Times New Roman"/>
          <w:bCs/>
          <w:sz w:val="32"/>
          <w:szCs w:val="32"/>
        </w:rPr>
        <w:t>争力不强，集群规模相对较小，产业关联度不强，比如麦克风电声器材行业仅为生产同类产品企业简单“扎堆”。工业产业结构失衡、层次较低，工业经济主要以陶瓷、纺织服装和水泥建材等劳动密集型和资源型传统产业为支撑，这三</w:t>
      </w:r>
      <w:r>
        <w:rPr>
          <w:rFonts w:ascii="Times New Roman" w:hAnsi="Times New Roman" w:eastAsia="仿宋_GB2312" w:cs="Times New Roman"/>
          <w:sz w:val="32"/>
          <w:szCs w:val="32"/>
        </w:rPr>
        <w:t>大传统产业占全部工业比重超61.62%，其中耗能大的陶瓷产业占规上工业总产值比重超46%，</w:t>
      </w:r>
      <w:r>
        <w:rPr>
          <w:rFonts w:ascii="Times New Roman" w:hAnsi="Times New Roman" w:eastAsia="仿宋_GB2312" w:cs="Times New Roman"/>
          <w:bCs/>
          <w:sz w:val="32"/>
          <w:szCs w:val="32"/>
        </w:rPr>
        <w:t>高端要素集聚不足</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受国内劳动力成本上升等因素影响，在国家推动制造业高质量发展形势下，面临经济增长动力转换和产业结构调整等挑战，我市产业优化调整升级迫在眉睫，亟需推进制造业要素改革，以信息技术融合和创新驱动为主导的传统制造业转型升级势在必行。</w:t>
      </w:r>
    </w:p>
    <w:p w14:paraId="450B002C">
      <w:pPr>
        <w:spacing w:line="560" w:lineRule="exact"/>
        <w:ind w:firstLine="643" w:firstLineChars="200"/>
        <w:outlineLvl w:val="2"/>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3、应对制造业人才竞争的挑战</w:t>
      </w:r>
    </w:p>
    <w:p w14:paraId="28CB15C3">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近年来国内一些城市和经济发达地区相继推出吸引人才的政策措施，形成了“虹吸效应”，我市经济发展相对珠三角其他地区比较滞后，工资水平相对较低，外地人才难引进，本地人才流失难遏制，造成我市人才缺乏，特别是精通企业管理的专业、技术型、复合型人才和工程技术研发人才以及技术工人不足，全市人才结构性矛盾没有得到根本改变。</w:t>
      </w:r>
      <w:r>
        <w:rPr>
          <w:rFonts w:ascii="Times New Roman" w:hAnsi="Times New Roman" w:eastAsia="仿宋_GB2312" w:cs="Times New Roman"/>
          <w:sz w:val="32"/>
          <w:szCs w:val="32"/>
        </w:rPr>
        <w:t>企业技术人才短缺，中小微企业缺乏创新公共服务平台支撑，企业总体创新能力仍然不强，</w:t>
      </w:r>
      <w:r>
        <w:rPr>
          <w:rFonts w:ascii="Times New Roman" w:hAnsi="Times New Roman" w:eastAsia="仿宋_GB2312" w:cs="Times New Roman"/>
          <w:bCs/>
          <w:sz w:val="32"/>
          <w:szCs w:val="32"/>
        </w:rPr>
        <w:t>严重制约我市制造业高质量发展。</w:t>
      </w:r>
    </w:p>
    <w:p w14:paraId="57ACAF8E">
      <w:pPr>
        <w:spacing w:line="560" w:lineRule="exact"/>
        <w:ind w:firstLine="643" w:firstLineChars="200"/>
        <w:outlineLvl w:val="2"/>
        <w:rPr>
          <w:rFonts w:ascii="Times New Roman" w:hAnsi="Times New Roman" w:eastAsia="仿宋_GB2312" w:cs="Times New Roman"/>
          <w:b/>
          <w:bCs/>
          <w:sz w:val="32"/>
          <w:szCs w:val="40"/>
        </w:rPr>
      </w:pPr>
      <w:bookmarkStart w:id="25" w:name="_Toc31970629"/>
      <w:bookmarkStart w:id="26" w:name="_Toc31985332"/>
      <w:r>
        <w:rPr>
          <w:rFonts w:ascii="Times New Roman" w:hAnsi="Times New Roman" w:eastAsia="仿宋_GB2312" w:cs="Times New Roman"/>
          <w:b/>
          <w:bCs/>
          <w:sz w:val="32"/>
          <w:szCs w:val="40"/>
        </w:rPr>
        <w:t>4、</w:t>
      </w:r>
      <w:bookmarkEnd w:id="25"/>
      <w:bookmarkEnd w:id="26"/>
      <w:r>
        <w:rPr>
          <w:rFonts w:ascii="Times New Roman" w:hAnsi="Times New Roman" w:eastAsia="仿宋_GB2312" w:cs="Times New Roman"/>
          <w:b/>
          <w:bCs/>
          <w:sz w:val="32"/>
          <w:szCs w:val="40"/>
        </w:rPr>
        <w:t>应对资源环境约束趋紧的挑战</w:t>
      </w:r>
    </w:p>
    <w:p w14:paraId="29B85C89">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我国资源约束日益趋紧，材料、能源、土地等关键要素价格持续上涨，企业生产成本不断上升。产业发展空间日渐减少，土地供需矛盾日益尖锐，环境承载能力下降、环保及节能降碳任重道远。我市作为江门市生态发展区，产业准入门槛提高，在一定程度上影响经济增长速度，在环境与资源约束持续强化、生产要素成本不断攀升的环境下，面临经济快速发展与环境资源空间不足等挑战，加快产业转型升级，全面推动先进制造业发展尤为迫切。</w:t>
      </w:r>
    </w:p>
    <w:p w14:paraId="63992329">
      <w:pPr>
        <w:spacing w:line="560" w:lineRule="exact"/>
        <w:ind w:firstLine="643" w:firstLineChars="200"/>
        <w:outlineLvl w:val="2"/>
        <w:rPr>
          <w:rFonts w:ascii="Times New Roman" w:hAnsi="Times New Roman" w:eastAsia="仿宋_GB2312" w:cs="Times New Roman"/>
          <w:b/>
          <w:bCs/>
          <w:sz w:val="32"/>
          <w:szCs w:val="40"/>
        </w:rPr>
      </w:pPr>
      <w:bookmarkStart w:id="27" w:name="_Toc31970630"/>
      <w:bookmarkStart w:id="28" w:name="_Toc31985333"/>
      <w:r>
        <w:rPr>
          <w:rFonts w:ascii="Times New Roman" w:hAnsi="Times New Roman" w:eastAsia="仿宋_GB2312" w:cs="Times New Roman"/>
          <w:b/>
          <w:bCs/>
          <w:sz w:val="32"/>
          <w:szCs w:val="40"/>
        </w:rPr>
        <w:t>5、应对周边地区</w:t>
      </w:r>
      <w:bookmarkEnd w:id="27"/>
      <w:bookmarkEnd w:id="28"/>
      <w:r>
        <w:rPr>
          <w:rFonts w:ascii="Times New Roman" w:hAnsi="Times New Roman" w:eastAsia="仿宋_GB2312" w:cs="Times New Roman"/>
          <w:b/>
          <w:bCs/>
          <w:sz w:val="32"/>
          <w:szCs w:val="40"/>
        </w:rPr>
        <w:t>激烈竞争的挑战</w:t>
      </w:r>
    </w:p>
    <w:p w14:paraId="277C5F66">
      <w:pPr>
        <w:pStyle w:val="34"/>
        <w:ind w:firstLine="640"/>
        <w:rPr>
          <w:rFonts w:eastAsia="楷体_GB2312"/>
          <w:b/>
          <w:szCs w:val="40"/>
        </w:rPr>
      </w:pPr>
      <w:r>
        <w:t>广东省以广州、深圳为主引擎推进珠三角核心区深度一体化，以粤港澳大湾区建设为重点，加快形成全面开放新格局。相较于广深港澳等发达的珠三角核心区和江门其他市、区，我市地处珠三角边缘，在发展基础、政策优势、开放程度处于弱势，在江门各市、区中经济体量、扶持政策、创新水平、人才集聚等关键因素的优势不突出，且自然资源禀赋、交通区位等条件相较劣势，在接受粤港澳大湾区和国外先进制造业辐射、承接产业转移等方面的竞争优势不够明显，区域竞争态势较为激烈，为我市先进制造业发展带来较大压力和挑战</w:t>
      </w:r>
      <w:r>
        <w:rPr>
          <w:rFonts w:hint="eastAsia"/>
        </w:rPr>
        <w:t>。</w:t>
      </w:r>
    </w:p>
    <w:p w14:paraId="76B46567">
      <w:pPr>
        <w:spacing w:line="560" w:lineRule="exact"/>
        <w:ind w:firstLine="643" w:firstLineChars="200"/>
        <w:outlineLvl w:val="1"/>
        <w:rPr>
          <w:rFonts w:ascii="Times New Roman" w:hAnsi="Times New Roman" w:eastAsia="楷体_GB2312" w:cs="Times New Roman"/>
          <w:b/>
          <w:bCs/>
          <w:sz w:val="32"/>
          <w:szCs w:val="40"/>
        </w:rPr>
      </w:pPr>
      <w:bookmarkStart w:id="29" w:name="_Toc167288464"/>
      <w:r>
        <w:rPr>
          <w:rFonts w:ascii="Times New Roman" w:hAnsi="Times New Roman" w:eastAsia="楷体_GB2312" w:cs="Times New Roman"/>
          <w:b/>
          <w:bCs/>
          <w:sz w:val="32"/>
          <w:szCs w:val="40"/>
        </w:rPr>
        <w:t>（</w:t>
      </w:r>
      <w:r>
        <w:rPr>
          <w:rFonts w:hint="eastAsia" w:ascii="Times New Roman" w:hAnsi="Times New Roman" w:eastAsia="楷体_GB2312" w:cs="Times New Roman"/>
          <w:b/>
          <w:bCs/>
          <w:sz w:val="32"/>
          <w:szCs w:val="40"/>
        </w:rPr>
        <w:t>二</w:t>
      </w:r>
      <w:r>
        <w:rPr>
          <w:rFonts w:ascii="Times New Roman" w:hAnsi="Times New Roman" w:eastAsia="楷体_GB2312" w:cs="Times New Roman"/>
          <w:b/>
          <w:bCs/>
          <w:sz w:val="32"/>
          <w:szCs w:val="40"/>
        </w:rPr>
        <w:t>）发展机遇</w:t>
      </w:r>
      <w:bookmarkEnd w:id="20"/>
      <w:bookmarkEnd w:id="21"/>
      <w:bookmarkEnd w:id="22"/>
      <w:bookmarkEnd w:id="29"/>
    </w:p>
    <w:p w14:paraId="6D3FE798">
      <w:pPr>
        <w:spacing w:line="560" w:lineRule="exact"/>
        <w:ind w:firstLine="643" w:firstLineChars="200"/>
        <w:outlineLvl w:val="2"/>
        <w:rPr>
          <w:rFonts w:ascii="Times New Roman" w:hAnsi="Times New Roman" w:eastAsia="仿宋_GB2312" w:cs="Times New Roman"/>
          <w:b/>
          <w:bCs/>
          <w:sz w:val="32"/>
          <w:szCs w:val="40"/>
        </w:rPr>
      </w:pPr>
      <w:bookmarkStart w:id="30" w:name="_Toc31985329"/>
      <w:bookmarkStart w:id="31" w:name="_Toc31970626"/>
      <w:bookmarkStart w:id="32" w:name="_Toc31985322"/>
      <w:bookmarkStart w:id="33" w:name="_Toc31970619"/>
      <w:r>
        <w:rPr>
          <w:rFonts w:ascii="Times New Roman" w:hAnsi="Times New Roman" w:eastAsia="仿宋_GB2312" w:cs="Times New Roman"/>
          <w:b/>
          <w:bCs/>
          <w:sz w:val="32"/>
          <w:szCs w:val="40"/>
        </w:rPr>
        <w:t>1、把握全球技术新一轮变革的机遇</w:t>
      </w:r>
      <w:bookmarkEnd w:id="30"/>
      <w:bookmarkEnd w:id="31"/>
    </w:p>
    <w:p w14:paraId="1BD38444">
      <w:pPr>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全球制造业已进入技术大变革时代，新科技产业革命促进多重技术的交叉融合，催生新的生产方式、组织形态和商业模式。5G、人工智能、物联网、增材制造(3D打印)、智能机器人等新兴技术已实现了多点革命性的突破，将为制造业的发展带来颠覆性的变革，已在部分先进制造业领域实现了协同应用，催使工业互联网的应用场景不断丰富，大大提高制造业研发设计、生产制造、管理服务等生产流程的智能化水平。我市必须紧抓新一轮新技术变革先机，加强关键领域核心技术攻关，加大技术创新应用的公共平台建设，推动优质制造企业从产品制造向研发、设计等高附加值服务领域延伸，提升制造业应用新技术、转化新成果的能力，促进先进制造业创新发展。</w:t>
      </w:r>
    </w:p>
    <w:p w14:paraId="07DC77EA">
      <w:pPr>
        <w:spacing w:line="560" w:lineRule="exact"/>
        <w:ind w:firstLine="643" w:firstLineChars="200"/>
        <w:outlineLvl w:val="2"/>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2、把握构建国内国际“双循环”新格局的机遇</w:t>
      </w:r>
    </w:p>
    <w:p w14:paraId="77687E5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面对复杂的国际环境变化，中央提出加快形成以国内大循环为主体、国内国际双循环相互促进的新发展格局。国内循环中，要加深“新基建”战略部署，巩固传统产业优势，布局战略性新兴产业，激发国内消费需求；国际循环中，要更好地参与国际分工、拓展国际市场，带动国内产业链和价值链在国际经济体系中不断攀升。抢抓“双循环”新格局构建机遇，我市制造业要用好国内、国际两种资源和市场，持续提升创新能力和制造实力，扎实开拓先进制造业产业链建设，依托“新基建”突破成果支撑先进制造业的智能化、数字化转型升级，打好产业链现代化攻坚战。</w:t>
      </w:r>
    </w:p>
    <w:p w14:paraId="723FADE9">
      <w:pPr>
        <w:spacing w:line="560" w:lineRule="exact"/>
        <w:ind w:firstLine="643" w:firstLineChars="200"/>
        <w:outlineLvl w:val="2"/>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3、把握粤港澳大湾区、深圳先行示范区“双区”驱动及横琴、前海两个合作区建设的机遇</w:t>
      </w:r>
    </w:p>
    <w:p w14:paraId="36E9C5C9">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粤港澳大湾区城市群建设上升为国家战略，《粤港澳大湾区发展规划纲要》赋予江门市多项发展定位；国家大力支持深圳建设中国特色社会主义先行示范区，发挥示范引领和辐射带动作用；江门市加快构建形成“三区并进”区域发展新格局，打造“</w:t>
      </w:r>
      <w:r>
        <w:rPr>
          <w:rFonts w:ascii="Times New Roman" w:hAnsi="Times New Roman" w:eastAsia="仿宋_GB2312" w:cs="Times New Roman"/>
          <w:bCs/>
          <w:sz w:val="32"/>
          <w:szCs w:val="32"/>
        </w:rPr>
        <w:t>珠江西岸新增长极和沿海经济带上的江海门户</w:t>
      </w:r>
      <w:r>
        <w:rPr>
          <w:rFonts w:ascii="Times New Roman" w:hAnsi="Times New Roman" w:eastAsia="仿宋_GB2312" w:cs="Times New Roman"/>
          <w:sz w:val="32"/>
          <w:szCs w:val="40"/>
        </w:rPr>
        <w:t>”。我市位于粤港澳大湾区核心辐射圈、沿海经济带，是江门市主要生态发展区，应充分利用“双区”驱动和“三区并进”的效应，</w:t>
      </w:r>
      <w:r>
        <w:rPr>
          <w:rFonts w:ascii="Times New Roman" w:hAnsi="Times New Roman" w:eastAsia="仿宋_GB2312" w:cs="Times New Roman"/>
          <w:sz w:val="32"/>
          <w:szCs w:val="32"/>
        </w:rPr>
        <w:t>构建“一核、两轴、三区”发展新格局、具有恩平特色现代化产业体系、打造宜居宜业宜游生态示范城市</w:t>
      </w:r>
      <w:r>
        <w:rPr>
          <w:rFonts w:ascii="Times New Roman" w:hAnsi="Times New Roman" w:eastAsia="仿宋_GB2312" w:cs="Times New Roman"/>
          <w:sz w:val="32"/>
          <w:szCs w:val="40"/>
        </w:rPr>
        <w:t>，强化先进制造业合作平台建设，主动承接广深港澳等先进地区在产业、技术、资金等方面溢出资源，实施错位发展，强化我市产业协调配套能力，充分利用“双区驱动”“双核联动”的叠加效应，提升我市先进制造业开放合作水平。</w:t>
      </w:r>
    </w:p>
    <w:p w14:paraId="027579BB">
      <w:pPr>
        <w:spacing w:line="560" w:lineRule="exact"/>
        <w:ind w:firstLine="643" w:firstLineChars="200"/>
        <w:outlineLvl w:val="2"/>
        <w:rPr>
          <w:rFonts w:ascii="Times New Roman" w:hAnsi="Times New Roman" w:eastAsia="仿宋_GB2312" w:cs="Times New Roman"/>
          <w:b/>
          <w:bCs/>
          <w:sz w:val="32"/>
          <w:szCs w:val="40"/>
        </w:rPr>
      </w:pPr>
      <w:r>
        <w:rPr>
          <w:rFonts w:ascii="Times New Roman" w:hAnsi="Times New Roman" w:eastAsia="仿宋_GB2312" w:cs="Times New Roman"/>
          <w:b/>
          <w:bCs/>
          <w:sz w:val="32"/>
          <w:szCs w:val="40"/>
        </w:rPr>
        <w:t>4、把握国家、省和江门重视和支持制造业高质量发展的机遇</w:t>
      </w:r>
    </w:p>
    <w:p w14:paraId="35EBD7A0">
      <w:pPr>
        <w:spacing w:line="560" w:lineRule="exact"/>
        <w:ind w:firstLine="640" w:firstLineChars="200"/>
        <w:rPr>
          <w:rFonts w:ascii="Times New Roman" w:hAnsi="Times New Roman" w:eastAsia="仿宋_GB2312" w:cs="Times New Roman"/>
          <w:bCs/>
          <w:sz w:val="32"/>
          <w:szCs w:val="32"/>
        </w:rPr>
      </w:pPr>
      <w:bookmarkStart w:id="34" w:name="_Toc31985327"/>
      <w:bookmarkStart w:id="35" w:name="_Toc31970624"/>
      <w:bookmarkStart w:id="36" w:name="_Toc30339292"/>
      <w:r>
        <w:rPr>
          <w:rFonts w:ascii="Times New Roman" w:hAnsi="Times New Roman" w:eastAsia="仿宋_GB2312" w:cs="Times New Roman"/>
          <w:sz w:val="32"/>
          <w:szCs w:val="40"/>
        </w:rPr>
        <w:t>国家</w:t>
      </w:r>
      <w:r>
        <w:rPr>
          <w:rFonts w:ascii="Times New Roman" w:hAnsi="Times New Roman" w:eastAsia="仿宋_GB2312" w:cs="Times New Roman"/>
          <w:bCs/>
          <w:sz w:val="32"/>
          <w:szCs w:val="32"/>
        </w:rPr>
        <w:t>大力实施“制造强国”战略，</w:t>
      </w:r>
      <w:r>
        <w:rPr>
          <w:rFonts w:ascii="Times New Roman" w:hAnsi="Times New Roman" w:eastAsia="仿宋_GB2312" w:cs="Times New Roman"/>
          <w:sz w:val="32"/>
          <w:szCs w:val="40"/>
        </w:rPr>
        <w:t>广东省为</w:t>
      </w:r>
      <w:r>
        <w:rPr>
          <w:rFonts w:ascii="Times New Roman" w:hAnsi="Times New Roman" w:eastAsia="仿宋_GB2312" w:cs="Times New Roman"/>
          <w:bCs/>
          <w:sz w:val="32"/>
          <w:szCs w:val="32"/>
        </w:rPr>
        <w:t>加快建设制造强省做出“六大工程”部署，</w:t>
      </w:r>
      <w:r>
        <w:rPr>
          <w:rFonts w:ascii="Times New Roman" w:hAnsi="Times New Roman" w:eastAsia="仿宋_GB2312" w:cs="Times New Roman"/>
          <w:sz w:val="32"/>
          <w:szCs w:val="40"/>
        </w:rPr>
        <w:t>着力培育20个战略性产业集群，</w:t>
      </w:r>
      <w:r>
        <w:rPr>
          <w:rFonts w:ascii="Times New Roman" w:hAnsi="Times New Roman" w:eastAsia="仿宋_GB2312" w:cs="Times New Roman"/>
          <w:bCs/>
          <w:sz w:val="32"/>
          <w:szCs w:val="32"/>
        </w:rPr>
        <w:t>打造具有核心竞争力的制造业产业体系</w:t>
      </w:r>
      <w:bookmarkEnd w:id="34"/>
      <w:bookmarkEnd w:id="35"/>
      <w:bookmarkEnd w:id="36"/>
      <w:r>
        <w:rPr>
          <w:rFonts w:ascii="Times New Roman" w:hAnsi="Times New Roman" w:eastAsia="仿宋_GB2312" w:cs="Times New Roman"/>
          <w:bCs/>
          <w:sz w:val="32"/>
          <w:szCs w:val="32"/>
        </w:rPr>
        <w:t>，提升制造业产业链稳定性和竞争力，江门提出</w:t>
      </w:r>
      <w:r>
        <w:rPr>
          <w:rFonts w:ascii="Times New Roman" w:hAnsi="Times New Roman" w:eastAsia="仿宋_GB2312" w:cs="Times New Roman"/>
          <w:sz w:val="32"/>
          <w:szCs w:val="40"/>
        </w:rPr>
        <w:t>全力打造富有竞争力的8个核心战略性产业集群和</w:t>
      </w:r>
      <w:r>
        <w:rPr>
          <w:rFonts w:ascii="Times New Roman" w:hAnsi="Times New Roman" w:eastAsia="仿宋_GB2312" w:cs="Times New Roman"/>
          <w:sz w:val="32"/>
        </w:rPr>
        <w:t>12个战略性产业集群</w:t>
      </w:r>
      <w:r>
        <w:rPr>
          <w:rFonts w:ascii="Times New Roman" w:hAnsi="Times New Roman" w:eastAsia="仿宋_GB2312" w:cs="Times New Roman"/>
          <w:sz w:val="32"/>
          <w:szCs w:val="40"/>
        </w:rPr>
        <w:t>的先进制造业集群体系，形成梯度发展有序、集群渐次形成、集聚效应凸显的产业发展格局。</w:t>
      </w:r>
      <w:r>
        <w:rPr>
          <w:rFonts w:ascii="Times New Roman" w:hAnsi="Times New Roman" w:eastAsia="仿宋_GB2312" w:cs="Times New Roman"/>
          <w:bCs/>
          <w:sz w:val="32"/>
          <w:szCs w:val="32"/>
        </w:rPr>
        <w:t>我市需紧抓国家、省市高度重视先进制造业发展的重要机遇，结合省培育</w:t>
      </w:r>
      <w:r>
        <w:rPr>
          <w:rFonts w:ascii="Times New Roman" w:hAnsi="Times New Roman" w:eastAsia="仿宋_GB2312" w:cs="Times New Roman"/>
          <w:sz w:val="32"/>
          <w:szCs w:val="40"/>
        </w:rPr>
        <w:t>20个战略性产业集群和江门培育</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5个</w:t>
      </w:r>
      <w:r>
        <w:rPr>
          <w:rFonts w:ascii="Times New Roman" w:hAnsi="Times New Roman" w:eastAsia="仿宋_GB2312" w:cs="Times New Roman"/>
          <w:bCs/>
          <w:sz w:val="32"/>
          <w:szCs w:val="32"/>
        </w:rPr>
        <w:t>先进制造业集群</w:t>
      </w:r>
      <w:r>
        <w:rPr>
          <w:rFonts w:ascii="Times New Roman" w:hAnsi="Times New Roman" w:eastAsia="仿宋_GB2312" w:cs="Times New Roman"/>
          <w:sz w:val="32"/>
          <w:szCs w:val="40"/>
        </w:rPr>
        <w:t>的部署以及我市产业特色优势</w:t>
      </w:r>
      <w:r>
        <w:rPr>
          <w:rFonts w:ascii="Times New Roman" w:hAnsi="Times New Roman" w:eastAsia="仿宋_GB2312" w:cs="Times New Roman"/>
          <w:bCs/>
          <w:sz w:val="32"/>
          <w:szCs w:val="32"/>
        </w:rPr>
        <w:t>，建设全国演艺装备制造重要基地，加快传统优势产业转型升级，大力培育新兴支柱产业，强化自主创新能力，</w:t>
      </w:r>
      <w:r>
        <w:rPr>
          <w:rFonts w:ascii="Times New Roman" w:hAnsi="Times New Roman" w:eastAsia="仿宋_GB2312" w:cs="Times New Roman"/>
          <w:sz w:val="32"/>
          <w:szCs w:val="40"/>
        </w:rPr>
        <w:t>完善先进制造业产业体系，</w:t>
      </w:r>
      <w:r>
        <w:rPr>
          <w:rFonts w:ascii="Times New Roman" w:hAnsi="Times New Roman" w:eastAsia="仿宋_GB2312" w:cs="Times New Roman"/>
          <w:bCs/>
          <w:sz w:val="32"/>
          <w:szCs w:val="32"/>
        </w:rPr>
        <w:t>打造具有恩平特色的先进制造业集群，</w:t>
      </w:r>
      <w:r>
        <w:rPr>
          <w:rFonts w:ascii="Times New Roman" w:hAnsi="Times New Roman" w:eastAsia="仿宋_GB2312" w:cs="Times New Roman"/>
          <w:sz w:val="32"/>
          <w:szCs w:val="40"/>
        </w:rPr>
        <w:t>擦亮“恩平制造”金字招牌</w:t>
      </w:r>
      <w:r>
        <w:rPr>
          <w:rFonts w:ascii="Times New Roman" w:hAnsi="Times New Roman" w:eastAsia="仿宋_GB2312" w:cs="Times New Roman"/>
          <w:bCs/>
          <w:sz w:val="32"/>
          <w:szCs w:val="32"/>
        </w:rPr>
        <w:t>。</w:t>
      </w:r>
      <w:bookmarkEnd w:id="32"/>
      <w:bookmarkEnd w:id="33"/>
    </w:p>
    <w:p w14:paraId="7E4E1EC3">
      <w:pPr>
        <w:spacing w:line="560" w:lineRule="exact"/>
        <w:ind w:firstLine="643" w:firstLineChars="200"/>
        <w:rPr>
          <w:rFonts w:ascii="Times New Roman" w:hAnsi="Times New Roman" w:eastAsia="仿宋_GB2312" w:cs="Times New Roman"/>
          <w:b/>
          <w:bCs/>
          <w:sz w:val="32"/>
          <w:szCs w:val="40"/>
        </w:rPr>
      </w:pPr>
      <w:r>
        <w:rPr>
          <w:rFonts w:hint="eastAsia" w:ascii="Times New Roman" w:hAnsi="Times New Roman" w:eastAsia="仿宋_GB2312" w:cs="Times New Roman"/>
          <w:b/>
          <w:bCs/>
          <w:sz w:val="32"/>
          <w:szCs w:val="40"/>
        </w:rPr>
        <w:t>5、把握“大桥经济”机遇</w:t>
      </w:r>
    </w:p>
    <w:p w14:paraId="2D7E09A2">
      <w:pPr>
        <w:spacing w:line="560" w:lineRule="exact"/>
        <w:ind w:firstLine="640" w:firstLineChars="200"/>
        <w:rPr>
          <w:rFonts w:ascii="Times New Roman" w:hAnsi="Times New Roman" w:eastAsia="仿宋_GB2312" w:cs="Times New Roman"/>
          <w:b/>
          <w:bCs/>
          <w:szCs w:val="40"/>
        </w:rPr>
      </w:pPr>
      <w:r>
        <w:rPr>
          <w:rFonts w:hint="eastAsia" w:ascii="Times New Roman" w:hAnsi="Times New Roman" w:eastAsia="仿宋_GB2312" w:cs="Times New Roman"/>
          <w:bCs/>
          <w:sz w:val="32"/>
          <w:szCs w:val="32"/>
        </w:rPr>
        <w:t>举世瞩目的国家重大工程、粤港澳大湾区核心枢纽工程深中通道将于2024年6月具备通车条件，届时江门将实现1小时直达深圳，区位优势迎来历史性突破和提升，进入抢抓“大桥经济”历史机遇高质量发展黄金期。依托深中通道，恩平市与大湾区城市群将形成“1.5小时经济生活圈”。要牢牢把握主动权，保持战略自信与战略冷静，把恩平拥有的开发强度低、产业基础扎实等优势叠加起来、用足用好，把好的态势、趋势转变为优势、胜势，承接湾区城市人才、产业、资源、技术等方面溢出提供更加有利的机遇。努力在广东新一轮高质量发展战场中抢占“一席之地”。</w:t>
      </w:r>
    </w:p>
    <w:p w14:paraId="4CBDF710">
      <w:pPr>
        <w:pStyle w:val="2"/>
        <w:spacing w:before="0" w:after="0" w:line="560" w:lineRule="exact"/>
        <w:ind w:firstLine="643" w:firstLineChars="200"/>
        <w:rPr>
          <w:rFonts w:ascii="Times New Roman" w:hAnsi="Times New Roman" w:eastAsia="黑体" w:cs="Times New Roman"/>
          <w:sz w:val="32"/>
        </w:rPr>
      </w:pPr>
      <w:bookmarkStart w:id="37" w:name="_Toc51589558"/>
      <w:bookmarkStart w:id="38" w:name="_Toc1409"/>
      <w:bookmarkStart w:id="39" w:name="_Toc25977"/>
      <w:bookmarkStart w:id="40" w:name="_Toc167288465"/>
      <w:r>
        <w:rPr>
          <w:rFonts w:ascii="Times New Roman" w:hAnsi="Times New Roman" w:eastAsia="黑体" w:cs="Times New Roman"/>
          <w:sz w:val="32"/>
        </w:rPr>
        <w:t>三、总体要求</w:t>
      </w:r>
      <w:bookmarkEnd w:id="37"/>
      <w:bookmarkEnd w:id="38"/>
      <w:bookmarkEnd w:id="39"/>
      <w:bookmarkEnd w:id="40"/>
    </w:p>
    <w:p w14:paraId="2453486A">
      <w:pPr>
        <w:spacing w:line="560" w:lineRule="exact"/>
        <w:ind w:firstLine="643" w:firstLineChars="200"/>
        <w:outlineLvl w:val="1"/>
        <w:rPr>
          <w:rFonts w:ascii="Times New Roman" w:hAnsi="Times New Roman" w:eastAsia="楷体_GB2312" w:cs="Times New Roman"/>
          <w:b/>
          <w:bCs/>
          <w:sz w:val="32"/>
          <w:szCs w:val="40"/>
        </w:rPr>
      </w:pPr>
      <w:bookmarkStart w:id="41" w:name="_Toc25375"/>
      <w:bookmarkStart w:id="42" w:name="_Toc51589559"/>
      <w:bookmarkStart w:id="43" w:name="_Toc167288466"/>
      <w:bookmarkStart w:id="44" w:name="_Toc21584"/>
      <w:r>
        <w:rPr>
          <w:rFonts w:ascii="Times New Roman" w:hAnsi="Times New Roman" w:eastAsia="楷体_GB2312" w:cs="Times New Roman"/>
          <w:b/>
          <w:bCs/>
          <w:sz w:val="32"/>
          <w:szCs w:val="40"/>
        </w:rPr>
        <w:t>（一）指导思想</w:t>
      </w:r>
      <w:bookmarkEnd w:id="41"/>
      <w:bookmarkEnd w:id="42"/>
      <w:bookmarkEnd w:id="43"/>
      <w:bookmarkEnd w:id="44"/>
    </w:p>
    <w:p w14:paraId="6316BE28">
      <w:pPr>
        <w:spacing w:line="56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sz w:val="32"/>
          <w:szCs w:val="40"/>
        </w:rPr>
        <w:t>以习近平新时代中国特色社会主义思想为指导，全面贯彻党的十九大</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十九届二中、三中、四中、五中、六中全会</w:t>
      </w:r>
      <w:r>
        <w:rPr>
          <w:rFonts w:hint="eastAsia" w:ascii="Times New Roman" w:hAnsi="Times New Roman" w:eastAsia="仿宋_GB2312" w:cs="Times New Roman"/>
          <w:sz w:val="32"/>
          <w:szCs w:val="40"/>
        </w:rPr>
        <w:t>和二十大</w:t>
      </w:r>
      <w:r>
        <w:rPr>
          <w:rFonts w:ascii="Times New Roman" w:hAnsi="Times New Roman" w:eastAsia="仿宋_GB2312" w:cs="Times New Roman"/>
          <w:sz w:val="32"/>
          <w:szCs w:val="40"/>
        </w:rPr>
        <w:t>精神，</w:t>
      </w:r>
      <w:r>
        <w:rPr>
          <w:rFonts w:ascii="Times New Roman" w:hAnsi="Times New Roman" w:eastAsia="仿宋_GB2312" w:cs="Times New Roman"/>
          <w:bCs/>
          <w:sz w:val="32"/>
          <w:szCs w:val="32"/>
        </w:rPr>
        <w:t>深入学习贯彻习近平总书记关于实施制造强国的战略重要论述和决策部署，以及对广东重要讲话和批示指示精神，认真贯彻落实省委“1</w:t>
      </w:r>
      <w:r>
        <w:rPr>
          <w:rFonts w:hint="eastAsia" w:ascii="Times New Roman" w:hAnsi="Times New Roman" w:eastAsia="仿宋_GB2312" w:cs="Times New Roman"/>
          <w:bCs/>
          <w:sz w:val="32"/>
          <w:szCs w:val="32"/>
        </w:rPr>
        <w:t>310</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具体</w:t>
      </w:r>
      <w:r>
        <w:rPr>
          <w:rFonts w:ascii="Times New Roman" w:hAnsi="Times New Roman" w:eastAsia="仿宋_GB2312" w:cs="Times New Roman"/>
          <w:bCs/>
          <w:sz w:val="32"/>
          <w:szCs w:val="32"/>
        </w:rPr>
        <w:t>部署、江门市委“1+6+3”和我市市委“1+1+5”工作举措，</w:t>
      </w:r>
      <w:bookmarkStart w:id="45" w:name="_Hlk46417411"/>
      <w:bookmarkStart w:id="46" w:name="_Hlk46224837"/>
      <w:r>
        <w:rPr>
          <w:rFonts w:ascii="Times New Roman" w:hAnsi="Times New Roman" w:eastAsia="仿宋_GB2312" w:cs="Times New Roman"/>
          <w:bCs/>
          <w:sz w:val="32"/>
          <w:szCs w:val="32"/>
        </w:rPr>
        <w:t>牢固树立和贯彻落实新发展理念，</w:t>
      </w:r>
      <w:r>
        <w:rPr>
          <w:rFonts w:ascii="Times New Roman" w:hAnsi="Times New Roman" w:eastAsia="仿宋_GB2312" w:cs="Times New Roman"/>
          <w:sz w:val="32"/>
          <w:szCs w:val="32"/>
        </w:rPr>
        <w:t>全面贯彻落实《恩平市国民经济和社会发展第十四个五年规划和</w:t>
      </w:r>
      <w:r>
        <w:rPr>
          <w:rFonts w:ascii="Times New Roman" w:hAnsi="Times New Roman" w:eastAsia="仿宋_GB2312" w:cs="Times New Roman"/>
          <w:sz w:val="32"/>
          <w:szCs w:val="40"/>
        </w:rPr>
        <w:t>二</w:t>
      </w:r>
      <w:r>
        <w:rPr>
          <w:rFonts w:hint="eastAsia" w:ascii="宋体" w:hAnsi="宋体" w:cs="宋体"/>
          <w:sz w:val="32"/>
          <w:szCs w:val="40"/>
        </w:rPr>
        <w:t>〇</w:t>
      </w:r>
      <w:r>
        <w:rPr>
          <w:rFonts w:ascii="Times New Roman" w:hAnsi="Times New Roman" w:eastAsia="仿宋_GB2312" w:cs="Times New Roman"/>
          <w:sz w:val="32"/>
          <w:szCs w:val="40"/>
        </w:rPr>
        <w:t>三五年远景目标</w:t>
      </w:r>
      <w:r>
        <w:rPr>
          <w:rFonts w:ascii="Times New Roman" w:hAnsi="Times New Roman" w:eastAsia="仿宋_GB2312" w:cs="Times New Roman"/>
          <w:sz w:val="32"/>
          <w:szCs w:val="32"/>
        </w:rPr>
        <w:t>纲要》，</w:t>
      </w:r>
      <w:r>
        <w:rPr>
          <w:rFonts w:ascii="Times New Roman" w:hAnsi="Times New Roman" w:eastAsia="仿宋_GB2312" w:cs="Times New Roman"/>
          <w:bCs/>
          <w:sz w:val="32"/>
          <w:szCs w:val="32"/>
        </w:rPr>
        <w:t>以供给侧结构性改革为主线，</w:t>
      </w:r>
      <w:r>
        <w:rPr>
          <w:rFonts w:ascii="Times New Roman" w:hAnsi="Times New Roman" w:eastAsia="仿宋_GB2312" w:cs="Times New Roman"/>
          <w:sz w:val="32"/>
          <w:szCs w:val="40"/>
        </w:rPr>
        <w:t>坚持工业立市、制造强市</w:t>
      </w:r>
      <w:r>
        <w:rPr>
          <w:rFonts w:ascii="Times New Roman" w:hAnsi="Times New Roman" w:eastAsia="仿宋_GB2312" w:cs="Times New Roman"/>
          <w:kern w:val="0"/>
          <w:sz w:val="32"/>
          <w:szCs w:val="32"/>
          <w:shd w:val="clear" w:color="auto" w:fill="FFFFFF"/>
        </w:rPr>
        <w:t>战略</w:t>
      </w:r>
      <w:r>
        <w:rPr>
          <w:rFonts w:ascii="Times New Roman" w:hAnsi="Times New Roman" w:eastAsia="仿宋_GB2312" w:cs="Times New Roman"/>
          <w:sz w:val="32"/>
          <w:szCs w:val="40"/>
        </w:rPr>
        <w:t>，深入实施“科技引领”“工业振兴”“园区再造”工程，抢抓新一轮科技革命和产业变革重大机遇，</w:t>
      </w:r>
      <w:r>
        <w:rPr>
          <w:rFonts w:ascii="Times New Roman" w:hAnsi="Times New Roman" w:eastAsia="仿宋_GB2312" w:cs="Times New Roman"/>
          <w:kern w:val="0"/>
          <w:sz w:val="32"/>
          <w:szCs w:val="32"/>
          <w:shd w:val="clear" w:color="auto" w:fill="FFFFFF"/>
        </w:rPr>
        <w:t>积极主动谋求与大湾区核心城市的战略合作，</w:t>
      </w:r>
      <w:r>
        <w:rPr>
          <w:rFonts w:ascii="Times New Roman" w:hAnsi="Times New Roman" w:eastAsia="仿宋_GB2312" w:cs="Times New Roman"/>
          <w:sz w:val="32"/>
          <w:szCs w:val="40"/>
        </w:rPr>
        <w:t>主动融入对接“双区”建设，培育发展新动能，巩固提升传统动能，增强工业基础，着力构建以先进制造业为主体、科技创新为依托、具有恩平特色的现代产业体系</w:t>
      </w:r>
      <w:bookmarkEnd w:id="45"/>
      <w:bookmarkEnd w:id="46"/>
      <w:r>
        <w:rPr>
          <w:rFonts w:ascii="Times New Roman" w:hAnsi="Times New Roman" w:eastAsia="仿宋_GB2312" w:cs="Times New Roman"/>
          <w:sz w:val="32"/>
          <w:szCs w:val="40"/>
        </w:rPr>
        <w:t>，全面推动先进制造业发展，带动全市制造业转型升级，</w:t>
      </w:r>
      <w:r>
        <w:rPr>
          <w:rFonts w:ascii="Times New Roman" w:hAnsi="Times New Roman" w:eastAsia="仿宋_GB2312" w:cs="Times New Roman"/>
          <w:sz w:val="32"/>
          <w:szCs w:val="32"/>
        </w:rPr>
        <w:t>全力促进恩平工业园扩能增效，打造珠三角特色标杆园区，着力推动节能降碳，强化清洁生产，实现绿色低碳发展，</w:t>
      </w:r>
      <w:r>
        <w:rPr>
          <w:rFonts w:ascii="Times New Roman" w:hAnsi="Times New Roman" w:eastAsia="仿宋_GB2312" w:cs="Times New Roman"/>
          <w:kern w:val="0"/>
          <w:sz w:val="32"/>
          <w:szCs w:val="32"/>
          <w:shd w:val="clear" w:color="auto" w:fill="FFFFFF"/>
        </w:rPr>
        <w:t>全面推进打造生态示范城市，整体提升区域经济实力。</w:t>
      </w:r>
    </w:p>
    <w:p w14:paraId="33DAE08C">
      <w:pPr>
        <w:spacing w:line="560" w:lineRule="exact"/>
        <w:ind w:firstLine="643" w:firstLineChars="200"/>
        <w:outlineLvl w:val="1"/>
        <w:rPr>
          <w:rFonts w:ascii="Times New Roman" w:hAnsi="Times New Roman" w:eastAsia="楷体_GB2312" w:cs="Times New Roman"/>
          <w:b/>
          <w:bCs/>
          <w:sz w:val="32"/>
          <w:szCs w:val="40"/>
        </w:rPr>
      </w:pPr>
      <w:bookmarkStart w:id="47" w:name="_Toc3210"/>
      <w:bookmarkStart w:id="48" w:name="_Toc167288467"/>
      <w:bookmarkStart w:id="49" w:name="_Toc3807"/>
      <w:bookmarkStart w:id="50" w:name="_Toc51589560"/>
      <w:r>
        <w:rPr>
          <w:rFonts w:ascii="Times New Roman" w:hAnsi="Times New Roman" w:eastAsia="楷体_GB2312" w:cs="Times New Roman"/>
          <w:b/>
          <w:bCs/>
          <w:sz w:val="32"/>
          <w:szCs w:val="40"/>
        </w:rPr>
        <w:t>（二）基本原则</w:t>
      </w:r>
      <w:bookmarkEnd w:id="47"/>
      <w:bookmarkEnd w:id="48"/>
      <w:bookmarkEnd w:id="49"/>
      <w:bookmarkEnd w:id="50"/>
    </w:p>
    <w:p w14:paraId="542847A0">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——坚持市场主导，政府引导</w:t>
      </w:r>
      <w:r>
        <w:rPr>
          <w:rFonts w:ascii="Times New Roman" w:hAnsi="Times New Roman" w:eastAsia="仿宋_GB2312" w:cs="Times New Roman"/>
          <w:sz w:val="32"/>
          <w:szCs w:val="40"/>
        </w:rPr>
        <w:t>。充分发挥市场配置资源的决定性作用，推动市场化体制机制改革，保护和激发市场主体活力。全面提升政府引导作用，积极转变政府职能，完善落实支持政策，持续改善营商环境，推动有效市场和有为政府的优化结合。</w:t>
      </w:r>
    </w:p>
    <w:p w14:paraId="59ADCF0C">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——坚持新兴产业与优势产业协同发展</w:t>
      </w:r>
      <w:r>
        <w:rPr>
          <w:rFonts w:ascii="Times New Roman" w:hAnsi="Times New Roman" w:eastAsia="仿宋_GB2312" w:cs="Times New Roman"/>
          <w:sz w:val="32"/>
          <w:szCs w:val="40"/>
        </w:rPr>
        <w:t>。紧抓广东省20个战略性产业集群和江门市</w:t>
      </w:r>
      <w:r>
        <w:rPr>
          <w:rFonts w:hint="eastAsia" w:ascii="Times New Roman" w:hAnsi="Times New Roman" w:eastAsia="仿宋_GB2312" w:cs="Times New Roman"/>
          <w:sz w:val="32"/>
          <w:szCs w:val="40"/>
        </w:rPr>
        <w:t>15个</w:t>
      </w:r>
      <w:r>
        <w:rPr>
          <w:rFonts w:ascii="Times New Roman" w:hAnsi="Times New Roman" w:eastAsia="仿宋_GB2312" w:cs="Times New Roman"/>
          <w:sz w:val="32"/>
          <w:szCs w:val="40"/>
        </w:rPr>
        <w:t>战略性产业集群建设机遇，发展壮大具有增长潜能和规模优势的新兴产业，强化传统优势产业核心竞争力，擦亮“恩平制造”金字招牌，加强战略谋划和前瞻部署，构建传统优势产业、新兴产业协同发展的先进制造业产业体系。</w:t>
      </w:r>
    </w:p>
    <w:p w14:paraId="63E4F9E0">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——坚持融合创新发展带动产业转型升级</w:t>
      </w:r>
      <w:r>
        <w:rPr>
          <w:rFonts w:ascii="Times New Roman" w:hAnsi="Times New Roman" w:eastAsia="仿宋_GB2312" w:cs="Times New Roman"/>
          <w:sz w:val="32"/>
          <w:szCs w:val="40"/>
        </w:rPr>
        <w:t>。把握产业融合发展趋势，深化工业互联网、大数据、人工智能等新一代信息技术发展，全面构建绿色制造体系，推动制造业向网络化、数字化、智能化、绿色化转型升级。加快</w:t>
      </w:r>
      <w:r>
        <w:rPr>
          <w:rFonts w:ascii="Times New Roman" w:hAnsi="Times New Roman" w:eastAsia="仿宋_GB2312" w:cs="Times New Roman"/>
          <w:bCs/>
          <w:sz w:val="32"/>
          <w:szCs w:val="32"/>
        </w:rPr>
        <w:t>制造企业向研发、设计等高附加值服务端延伸，实现</w:t>
      </w:r>
      <w:r>
        <w:rPr>
          <w:rFonts w:ascii="Times New Roman" w:hAnsi="Times New Roman" w:eastAsia="仿宋_GB2312" w:cs="Times New Roman"/>
          <w:sz w:val="32"/>
          <w:szCs w:val="40"/>
        </w:rPr>
        <w:t>生产型制造向服务型制造转变。</w:t>
      </w:r>
    </w:p>
    <w:p w14:paraId="523BE99D">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——坚持深化开放合作引领创新驱动</w:t>
      </w:r>
      <w:r>
        <w:rPr>
          <w:rFonts w:ascii="Times New Roman" w:hAnsi="Times New Roman" w:eastAsia="仿宋_GB2312" w:cs="Times New Roman"/>
          <w:sz w:val="32"/>
          <w:szCs w:val="40"/>
        </w:rPr>
        <w:t>。加快融入粤港澳大湾区进程，大力引进大湾区及全球先进制造业创新要素，突破发展瓶颈和薄弱环节，提高核心竞争力和可持续发展，完善创新链与产业链建设，着力攻克关键核心技术，提高自主创新能力，加强区域性、全球性的产业创新合作和市场布局，提高创新驱动和开放合作水平。</w:t>
      </w:r>
    </w:p>
    <w:p w14:paraId="570900E0">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——坚持空间布局与集聚集约并进优化</w:t>
      </w:r>
      <w:r>
        <w:rPr>
          <w:rFonts w:ascii="Times New Roman" w:hAnsi="Times New Roman" w:eastAsia="仿宋_GB2312" w:cs="Times New Roman"/>
          <w:sz w:val="32"/>
          <w:szCs w:val="40"/>
        </w:rPr>
        <w:t>。以提高集约集聚水平、增强产业集群竞争力为目标，根据功能定位和先进制造业发展布局，加快提升恩平工业园区的整体功能、管理体制和要素配套，提高土地利用效率和综合效益，推进先进制造业基地化、集群化、集约化发展。</w:t>
      </w:r>
    </w:p>
    <w:p w14:paraId="0EFE5C6D">
      <w:pPr>
        <w:spacing w:line="560" w:lineRule="exact"/>
        <w:ind w:firstLine="643" w:firstLineChars="200"/>
        <w:outlineLvl w:val="1"/>
        <w:rPr>
          <w:rFonts w:ascii="Times New Roman" w:hAnsi="Times New Roman" w:eastAsia="楷体_GB2312" w:cs="Times New Roman"/>
          <w:b/>
          <w:bCs/>
          <w:sz w:val="32"/>
          <w:szCs w:val="40"/>
        </w:rPr>
      </w:pPr>
      <w:bookmarkStart w:id="51" w:name="_Toc167288468"/>
      <w:bookmarkStart w:id="52" w:name="_Toc19815"/>
      <w:bookmarkStart w:id="53" w:name="_Toc26475"/>
      <w:bookmarkStart w:id="54" w:name="_Toc51589561"/>
      <w:r>
        <w:rPr>
          <w:rFonts w:hint="eastAsia" w:ascii="Times New Roman" w:hAnsi="Times New Roman" w:eastAsia="楷体_GB2312" w:cs="Times New Roman"/>
          <w:b/>
          <w:bCs/>
          <w:sz w:val="32"/>
          <w:szCs w:val="40"/>
        </w:rPr>
        <w:t>（三）编制依据</w:t>
      </w:r>
      <w:bookmarkEnd w:id="51"/>
    </w:p>
    <w:p w14:paraId="554027CF">
      <w:pPr>
        <w:pStyle w:val="34"/>
        <w:ind w:firstLine="640"/>
        <w:rPr>
          <w:rFonts w:eastAsia="楷体_GB2312"/>
          <w:b/>
          <w:bCs/>
        </w:rPr>
      </w:pPr>
      <w:r>
        <w:rPr>
          <w:rFonts w:hint="eastAsia"/>
        </w:rPr>
        <w:t>《中共中央关于制定国民经济和社会发展第十四个五年规划和二</w:t>
      </w:r>
      <w:r>
        <w:rPr>
          <w:rFonts w:hint="eastAsia" w:ascii="宋体" w:hAnsi="宋体" w:eastAsia="宋体" w:cs="宋体"/>
        </w:rPr>
        <w:t>〇</w:t>
      </w:r>
      <w:r>
        <w:rPr>
          <w:rFonts w:hint="eastAsia" w:ascii="仿宋_GB2312" w:hAnsi="仿宋_GB2312" w:cs="仿宋_GB2312"/>
        </w:rPr>
        <w:t>三五年远景目标的建议》《中华人民共和国国民经济和社会发展第十四个五年规划和</w:t>
      </w:r>
      <w:r>
        <w:rPr>
          <w:rFonts w:hint="eastAsia"/>
        </w:rPr>
        <w:t>2035年远景目标纲要》《粤港澳大湾区发展规划纲要》《中共广东省委关于制定国民经济和社会发展第十四个五年规划和二</w:t>
      </w:r>
      <w:r>
        <w:rPr>
          <w:rFonts w:hint="eastAsia" w:ascii="宋体" w:hAnsi="宋体" w:eastAsia="宋体" w:cs="宋体"/>
        </w:rPr>
        <w:t>〇</w:t>
      </w:r>
      <w:r>
        <w:rPr>
          <w:rFonts w:hint="eastAsia"/>
        </w:rPr>
        <w:t>三五年远景目标的建议》《广东省国民经济和社会发展第十四个五年规划和2035年远景目标纲要》《广东省制造业高质量发展“十四五”规划》《中共江门市委关于制定江门市国民经济和社会发展第十四个五年规划和二</w:t>
      </w:r>
      <w:r>
        <w:rPr>
          <w:rFonts w:hint="eastAsia" w:ascii="宋体" w:hAnsi="宋体" w:eastAsia="宋体" w:cs="宋体"/>
        </w:rPr>
        <w:t>〇</w:t>
      </w:r>
      <w:r>
        <w:rPr>
          <w:rFonts w:hint="eastAsia" w:ascii="仿宋_GB2312" w:hAnsi="仿宋_GB2312" w:cs="仿宋_GB2312"/>
        </w:rPr>
        <w:t>三五年远景目标的建议》《江门市国民经济和社会发展第十四个五年规划和</w:t>
      </w:r>
      <w:r>
        <w:rPr>
          <w:rFonts w:hint="eastAsia"/>
        </w:rPr>
        <w:t>2035年远景目标纲要》《江门市先进制造业发展“十四五”规划》《恩平市国民经济和社会发展第十四个五年规划和2035年远景目标纲要》等。</w:t>
      </w:r>
    </w:p>
    <w:p w14:paraId="790A372A">
      <w:pPr>
        <w:spacing w:line="560" w:lineRule="exact"/>
        <w:ind w:firstLine="643" w:firstLineChars="200"/>
        <w:outlineLvl w:val="1"/>
        <w:rPr>
          <w:rFonts w:ascii="Times New Roman" w:hAnsi="Times New Roman" w:eastAsia="楷体_GB2312" w:cs="Times New Roman"/>
          <w:b/>
          <w:bCs/>
          <w:sz w:val="32"/>
          <w:szCs w:val="40"/>
        </w:rPr>
      </w:pPr>
      <w:bookmarkStart w:id="55" w:name="_Toc167288469"/>
      <w:r>
        <w:rPr>
          <w:rFonts w:ascii="Times New Roman" w:hAnsi="Times New Roman" w:eastAsia="楷体_GB2312" w:cs="Times New Roman"/>
          <w:b/>
          <w:bCs/>
          <w:sz w:val="32"/>
          <w:szCs w:val="40"/>
        </w:rPr>
        <w:t>（</w:t>
      </w:r>
      <w:r>
        <w:rPr>
          <w:rFonts w:hint="eastAsia" w:ascii="Times New Roman" w:hAnsi="Times New Roman" w:eastAsia="楷体_GB2312" w:cs="Times New Roman"/>
          <w:b/>
          <w:bCs/>
          <w:sz w:val="32"/>
          <w:szCs w:val="40"/>
        </w:rPr>
        <w:t>四</w:t>
      </w:r>
      <w:r>
        <w:rPr>
          <w:rFonts w:ascii="Times New Roman" w:hAnsi="Times New Roman" w:eastAsia="楷体_GB2312" w:cs="Times New Roman"/>
          <w:b/>
          <w:bCs/>
          <w:sz w:val="32"/>
          <w:szCs w:val="40"/>
        </w:rPr>
        <w:t>）</w:t>
      </w:r>
      <w:r>
        <w:rPr>
          <w:rFonts w:hint="eastAsia" w:ascii="Times New Roman" w:hAnsi="Times New Roman" w:eastAsia="楷体_GB2312" w:cs="Times New Roman"/>
          <w:b/>
          <w:bCs/>
          <w:sz w:val="32"/>
          <w:szCs w:val="40"/>
        </w:rPr>
        <w:t>发展</w:t>
      </w:r>
      <w:r>
        <w:rPr>
          <w:rFonts w:ascii="Times New Roman" w:hAnsi="Times New Roman" w:eastAsia="楷体_GB2312" w:cs="Times New Roman"/>
          <w:b/>
          <w:bCs/>
          <w:sz w:val="32"/>
          <w:szCs w:val="40"/>
        </w:rPr>
        <w:t>目标</w:t>
      </w:r>
      <w:bookmarkEnd w:id="52"/>
      <w:bookmarkEnd w:id="53"/>
      <w:bookmarkEnd w:id="54"/>
      <w:bookmarkEnd w:id="55"/>
    </w:p>
    <w:p w14:paraId="21825B7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围绕构建“一核、两轴、三区”发展新格局、具有恩平特色现代化产业体系、打造宜居宜业宜游生态示范城市</w:t>
      </w:r>
      <w:r>
        <w:rPr>
          <w:rFonts w:ascii="Times New Roman" w:hAnsi="Times New Roman" w:eastAsia="仿宋_GB2312" w:cs="Times New Roman"/>
          <w:sz w:val="32"/>
          <w:szCs w:val="40"/>
        </w:rPr>
        <w:t>的新使命新定位</w:t>
      </w:r>
      <w:r>
        <w:rPr>
          <w:rFonts w:ascii="Times New Roman" w:hAnsi="Times New Roman" w:eastAsia="仿宋_GB2312" w:cs="Times New Roman"/>
          <w:sz w:val="32"/>
          <w:szCs w:val="32"/>
        </w:rPr>
        <w:t>，以新兴产业和特色优势产业同步发展为引领，推动产业结构不断优化、集群竞争力逐步增强、创新水平不断提升、融合程度加快深化，促进全市先进制造业实现高质量发展。</w:t>
      </w:r>
    </w:p>
    <w:p w14:paraId="621245CC">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产业结构不断优化</w:t>
      </w:r>
      <w:r>
        <w:rPr>
          <w:rFonts w:ascii="Times New Roman" w:hAnsi="Times New Roman" w:eastAsia="仿宋_GB2312" w:cs="Times New Roman"/>
          <w:sz w:val="32"/>
          <w:szCs w:val="40"/>
        </w:rPr>
        <w:t>，到2025年，全市制造业增加值占地区GDP的比重保持在</w:t>
      </w:r>
      <w:r>
        <w:rPr>
          <w:rFonts w:hint="eastAsia" w:ascii="Times New Roman" w:hAnsi="Times New Roman" w:eastAsia="仿宋_GB2312" w:cs="Times New Roman"/>
          <w:sz w:val="32"/>
          <w:szCs w:val="40"/>
        </w:rPr>
        <w:t>21.5</w:t>
      </w:r>
      <w:r>
        <w:rPr>
          <w:rFonts w:ascii="Times New Roman" w:hAnsi="Times New Roman" w:eastAsia="仿宋_GB2312" w:cs="Times New Roman"/>
          <w:sz w:val="32"/>
          <w:szCs w:val="40"/>
        </w:rPr>
        <w:t>%以上，先进制造业占规模以上工业增加值的比重达到</w:t>
      </w:r>
      <w:r>
        <w:rPr>
          <w:rFonts w:hint="eastAsia" w:ascii="Times New Roman" w:hAnsi="Times New Roman" w:eastAsia="仿宋_GB2312" w:cs="Times New Roman"/>
          <w:sz w:val="32"/>
          <w:szCs w:val="40"/>
        </w:rPr>
        <w:t>33</w:t>
      </w: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rPr>
        <w:t>，高技术产业占规模以上工业增加值的比重达到8%。</w:t>
      </w:r>
    </w:p>
    <w:p w14:paraId="2F327C53">
      <w:pPr>
        <w:spacing w:line="560" w:lineRule="exact"/>
        <w:ind w:firstLine="643" w:firstLineChars="200"/>
        <w:rPr>
          <w:rFonts w:ascii="Times New Roman" w:hAnsi="Times New Roman" w:eastAsia="仿宋_GB2312" w:cs="Times New Roman"/>
          <w:sz w:val="32"/>
          <w:szCs w:val="40"/>
        </w:rPr>
      </w:pPr>
      <w:r>
        <w:rPr>
          <w:rFonts w:hint="eastAsia" w:ascii="Times New Roman" w:hAnsi="Times New Roman" w:eastAsia="仿宋_GB2312" w:cs="Times New Roman"/>
          <w:b/>
          <w:bCs/>
          <w:sz w:val="32"/>
          <w:szCs w:val="40"/>
        </w:rPr>
        <w:t>创新发展水平增强</w:t>
      </w:r>
      <w:r>
        <w:rPr>
          <w:rFonts w:ascii="Times New Roman" w:hAnsi="Times New Roman" w:eastAsia="仿宋_GB2312" w:cs="Times New Roman"/>
          <w:sz w:val="32"/>
          <w:szCs w:val="40"/>
        </w:rPr>
        <w:t>，到2025年，全市</w:t>
      </w:r>
      <w:r>
        <w:rPr>
          <w:rFonts w:hint="eastAsia" w:ascii="Times New Roman" w:hAnsi="Times New Roman" w:eastAsia="仿宋_GB2312" w:cs="Times New Roman"/>
          <w:sz w:val="32"/>
          <w:szCs w:val="40"/>
        </w:rPr>
        <w:t>规上制造业企业研发经费支出占主营业务收入比重达到2.2%，有效发明专利数达到260件，规模以上工业企业研发机构覆盖率达到62.5%，省级及以上科技创新平台数量达25个，技改投资年均增长15%</w:t>
      </w:r>
      <w:r>
        <w:rPr>
          <w:rFonts w:ascii="Times New Roman" w:hAnsi="Times New Roman" w:eastAsia="仿宋_GB2312" w:cs="Times New Roman"/>
          <w:sz w:val="32"/>
          <w:szCs w:val="40"/>
        </w:rPr>
        <w:t>。</w:t>
      </w:r>
    </w:p>
    <w:p w14:paraId="5006F71A">
      <w:pPr>
        <w:spacing w:line="560" w:lineRule="exact"/>
        <w:ind w:firstLine="643" w:firstLineChars="200"/>
        <w:rPr>
          <w:rFonts w:ascii="Times New Roman" w:hAnsi="Times New Roman" w:eastAsia="仿宋_GB2312" w:cs="Times New Roman"/>
          <w:sz w:val="32"/>
          <w:szCs w:val="40"/>
        </w:rPr>
      </w:pPr>
      <w:r>
        <w:rPr>
          <w:rFonts w:hint="eastAsia" w:ascii="Times New Roman" w:hAnsi="Times New Roman" w:eastAsia="仿宋_GB2312" w:cs="Times New Roman"/>
          <w:b/>
          <w:bCs/>
          <w:sz w:val="32"/>
          <w:szCs w:val="40"/>
        </w:rPr>
        <w:t>质量效益逐步提升</w:t>
      </w:r>
      <w:r>
        <w:rPr>
          <w:rFonts w:ascii="Times New Roman" w:hAnsi="Times New Roman" w:eastAsia="仿宋_GB2312" w:cs="Times New Roman"/>
          <w:sz w:val="32"/>
          <w:szCs w:val="40"/>
        </w:rPr>
        <w:t>，到2025年，</w:t>
      </w:r>
      <w:r>
        <w:rPr>
          <w:rFonts w:hint="eastAsia" w:ascii="Times New Roman" w:hAnsi="Times New Roman" w:eastAsia="仿宋_GB2312" w:cs="Times New Roman"/>
          <w:sz w:val="32"/>
          <w:szCs w:val="40"/>
        </w:rPr>
        <w:t>制造业产品质量合格率达到90%以上，规模以上工业全员劳动生产率达到19万元</w:t>
      </w:r>
      <w:r>
        <w:rPr>
          <w:rFonts w:hint="eastAsia" w:ascii="Dotum" w:hAnsi="Dotum" w:eastAsia="Dotum" w:cs="Times New Roman"/>
          <w:sz w:val="32"/>
          <w:szCs w:val="40"/>
        </w:rPr>
        <w:t>/</w:t>
      </w:r>
      <w:r>
        <w:rPr>
          <w:rFonts w:hint="eastAsia" w:ascii="Times New Roman" w:hAnsi="Times New Roman" w:eastAsia="仿宋_GB2312" w:cs="Times New Roman"/>
          <w:sz w:val="32"/>
          <w:szCs w:val="40"/>
        </w:rPr>
        <w:t>人</w:t>
      </w:r>
      <w:r>
        <w:rPr>
          <w:rFonts w:ascii="Times New Roman" w:hAnsi="Times New Roman" w:eastAsia="仿宋_GB2312" w:cs="Times New Roman"/>
          <w:sz w:val="32"/>
          <w:szCs w:val="40"/>
        </w:rPr>
        <w:t>。</w:t>
      </w:r>
    </w:p>
    <w:p w14:paraId="5AFFD03A">
      <w:pPr>
        <w:spacing w:line="560" w:lineRule="exact"/>
        <w:ind w:firstLine="643" w:firstLineChars="200"/>
        <w:rPr>
          <w:rFonts w:ascii="Times New Roman" w:hAnsi="Times New Roman" w:eastAsia="仿宋_GB2312" w:cs="Times New Roman"/>
          <w:sz w:val="32"/>
          <w:szCs w:val="40"/>
        </w:rPr>
      </w:pPr>
      <w:r>
        <w:rPr>
          <w:rFonts w:hint="eastAsia" w:ascii="Times New Roman" w:hAnsi="Times New Roman" w:eastAsia="仿宋_GB2312" w:cs="Times New Roman"/>
          <w:b/>
          <w:bCs/>
          <w:sz w:val="32"/>
          <w:szCs w:val="40"/>
        </w:rPr>
        <w:t>融合发展能力提高</w:t>
      </w: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rPr>
        <w:t>到2025年，应用工业互联网实施数字化转型的规模以上工业企业达到36家</w:t>
      </w:r>
      <w:r>
        <w:rPr>
          <w:rFonts w:ascii="Times New Roman" w:hAnsi="Times New Roman" w:eastAsia="仿宋_GB2312" w:cs="Times New Roman"/>
          <w:sz w:val="32"/>
          <w:szCs w:val="40"/>
        </w:rPr>
        <w:t>。</w:t>
      </w:r>
    </w:p>
    <w:p w14:paraId="524B8CCA">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32"/>
        </w:rPr>
        <w:t>绿色发展明显提高</w:t>
      </w:r>
      <w:r>
        <w:rPr>
          <w:rFonts w:ascii="Times New Roman" w:hAnsi="Times New Roman" w:eastAsia="仿宋_GB2312" w:cs="Times New Roman"/>
          <w:sz w:val="32"/>
          <w:szCs w:val="32"/>
        </w:rPr>
        <w:t>，</w:t>
      </w:r>
      <w:r>
        <w:rPr>
          <w:rFonts w:ascii="Times New Roman" w:hAnsi="Times New Roman" w:eastAsia="仿宋_GB2312" w:cs="Times New Roman"/>
          <w:sz w:val="32"/>
          <w:szCs w:val="40"/>
        </w:rPr>
        <w:t>到2025年，</w:t>
      </w:r>
      <w:r>
        <w:rPr>
          <w:rFonts w:ascii="Times New Roman" w:hAnsi="Times New Roman" w:eastAsia="仿宋_GB2312" w:cs="Times New Roman"/>
          <w:sz w:val="32"/>
          <w:szCs w:val="32"/>
        </w:rPr>
        <w:t>全市制造业能源资源利用效率大幅提高，主要污染物排放总量进一步下降，围绕重点产业打造一批绿色工厂、绿色产品、绿色园区、绿色供应链，生产方式绿色低碳转型成效明显，构建覆盖全产业链和产品全生命周期的绿色制造体系。“十四五”期间，全市规模以上工业企业单位增加值能耗逐年下降。</w:t>
      </w:r>
    </w:p>
    <w:p w14:paraId="1F47BAA6">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40"/>
        </w:rPr>
        <w:t>开放合作进一步扩大</w:t>
      </w:r>
      <w:r>
        <w:rPr>
          <w:rFonts w:ascii="Times New Roman" w:hAnsi="Times New Roman" w:eastAsia="仿宋_GB2312" w:cs="Times New Roman"/>
          <w:sz w:val="32"/>
          <w:szCs w:val="40"/>
        </w:rPr>
        <w:t>，到2025年，</w:t>
      </w:r>
      <w:r>
        <w:rPr>
          <w:rFonts w:hint="eastAsia" w:ascii="Times New Roman" w:hAnsi="Times New Roman" w:eastAsia="仿宋_GB2312" w:cs="Times New Roman"/>
          <w:sz w:val="32"/>
          <w:szCs w:val="40"/>
        </w:rPr>
        <w:t>制造业实际使用外商直接投资额占全市实际使用外商直接投资额的比重达到</w:t>
      </w:r>
      <w:r>
        <w:rPr>
          <w:rFonts w:hint="eastAsia" w:ascii="Times New Roman" w:hAnsi="Times New Roman" w:eastAsia="仿宋_GB2312" w:cs="Times New Roman"/>
          <w:sz w:val="32"/>
          <w:szCs w:val="32"/>
        </w:rPr>
        <w:t>20%。</w:t>
      </w:r>
    </w:p>
    <w:p w14:paraId="074385B6">
      <w:pPr>
        <w:spacing w:line="560" w:lineRule="exact"/>
        <w:ind w:firstLine="643"/>
        <w:rPr>
          <w:rFonts w:ascii="Times New Roman" w:hAnsi="Times New Roman" w:cs="Times New Roman"/>
        </w:rPr>
      </w:pPr>
    </w:p>
    <w:p w14:paraId="0CE4395E">
      <w:pPr>
        <w:spacing w:line="560" w:lineRule="exact"/>
        <w:ind w:firstLine="640" w:firstLineChars="200"/>
        <w:rPr>
          <w:rFonts w:ascii="Times New Roman" w:hAnsi="Times New Roman" w:eastAsia="仿宋_GB2312" w:cs="Times New Roman"/>
          <w:sz w:val="32"/>
          <w:szCs w:val="40"/>
        </w:rPr>
      </w:pPr>
    </w:p>
    <w:p w14:paraId="5B8DB352">
      <w:pPr>
        <w:spacing w:line="560" w:lineRule="exact"/>
        <w:ind w:right="-74"/>
        <w:jc w:val="center"/>
        <w:rPr>
          <w:rFonts w:ascii="Times New Roman" w:hAnsi="Times New Roman" w:cs="Times New Roman"/>
          <w:b/>
          <w:sz w:val="24"/>
          <w:szCs w:val="28"/>
        </w:rPr>
      </w:pPr>
      <w:r>
        <w:rPr>
          <w:rFonts w:ascii="Times New Roman" w:hAnsi="Times New Roman" w:cs="Times New Roman"/>
          <w:b/>
          <w:sz w:val="24"/>
          <w:szCs w:val="28"/>
        </w:rPr>
        <w:t>表1 恩平市先进制造业发展“十四五”规划目标</w:t>
      </w:r>
    </w:p>
    <w:bookmarkEnd w:id="9"/>
    <w:tbl>
      <w:tblPr>
        <w:tblStyle w:val="21"/>
        <w:tblW w:w="9960"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450"/>
        <w:gridCol w:w="885"/>
        <w:gridCol w:w="1200"/>
        <w:gridCol w:w="1065"/>
        <w:gridCol w:w="1245"/>
        <w:gridCol w:w="1320"/>
      </w:tblGrid>
      <w:tr w14:paraId="6655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897B5BE">
            <w:pPr>
              <w:jc w:val="center"/>
              <w:rPr>
                <w:rFonts w:eastAsiaTheme="minorEastAsia"/>
                <w:sz w:val="24"/>
              </w:rPr>
            </w:pPr>
            <w:bookmarkStart w:id="56" w:name="_Toc3473"/>
            <w:bookmarkStart w:id="57" w:name="_Toc51589562"/>
            <w:bookmarkStart w:id="58" w:name="_Toc9958"/>
            <w:bookmarkStart w:id="59" w:name="_Hlk46501503"/>
            <w:bookmarkStart w:id="60" w:name="_Hlk33714688"/>
            <w:r>
              <w:rPr>
                <w:rFonts w:hint="eastAsia" w:eastAsiaTheme="minorEastAsia"/>
                <w:sz w:val="24"/>
              </w:rPr>
              <w:t>指标</w:t>
            </w:r>
          </w:p>
          <w:p w14:paraId="57C026D1">
            <w:pPr>
              <w:jc w:val="center"/>
              <w:rPr>
                <w:rFonts w:eastAsiaTheme="minorEastAsia"/>
                <w:sz w:val="24"/>
              </w:rPr>
            </w:pPr>
            <w:r>
              <w:rPr>
                <w:rFonts w:hint="eastAsia" w:eastAsiaTheme="minorEastAsia"/>
                <w:sz w:val="24"/>
              </w:rPr>
              <w:t>类型</w:t>
            </w:r>
          </w:p>
        </w:tc>
        <w:tc>
          <w:tcPr>
            <w:tcW w:w="3450" w:type="dxa"/>
            <w:vAlign w:val="center"/>
          </w:tcPr>
          <w:p w14:paraId="5EFE0C4F">
            <w:pPr>
              <w:jc w:val="center"/>
              <w:rPr>
                <w:rFonts w:eastAsiaTheme="minorEastAsia"/>
                <w:sz w:val="24"/>
              </w:rPr>
            </w:pPr>
            <w:r>
              <w:rPr>
                <w:rFonts w:hint="eastAsia" w:eastAsiaTheme="minorEastAsia"/>
                <w:sz w:val="24"/>
              </w:rPr>
              <w:t>具体指标</w:t>
            </w:r>
          </w:p>
        </w:tc>
        <w:tc>
          <w:tcPr>
            <w:tcW w:w="885" w:type="dxa"/>
            <w:vAlign w:val="center"/>
          </w:tcPr>
          <w:p w14:paraId="2B4576F5">
            <w:pPr>
              <w:jc w:val="center"/>
              <w:rPr>
                <w:rFonts w:eastAsiaTheme="minorEastAsia"/>
                <w:sz w:val="24"/>
              </w:rPr>
            </w:pPr>
            <w:r>
              <w:rPr>
                <w:rFonts w:hint="eastAsia" w:eastAsiaTheme="minorEastAsia"/>
                <w:sz w:val="24"/>
              </w:rPr>
              <w:t>单位</w:t>
            </w:r>
          </w:p>
        </w:tc>
        <w:tc>
          <w:tcPr>
            <w:tcW w:w="1200" w:type="dxa"/>
            <w:vAlign w:val="center"/>
          </w:tcPr>
          <w:p w14:paraId="1289F7B0">
            <w:pPr>
              <w:jc w:val="center"/>
              <w:rPr>
                <w:rFonts w:eastAsiaTheme="minorEastAsia"/>
                <w:sz w:val="24"/>
              </w:rPr>
            </w:pPr>
            <w:r>
              <w:rPr>
                <w:rFonts w:hint="eastAsia" w:eastAsiaTheme="minorEastAsia"/>
                <w:sz w:val="24"/>
              </w:rPr>
              <w:t>2023年</w:t>
            </w:r>
          </w:p>
          <w:p w14:paraId="69A50EDE">
            <w:pPr>
              <w:jc w:val="center"/>
              <w:rPr>
                <w:rFonts w:eastAsiaTheme="minorEastAsia"/>
                <w:sz w:val="24"/>
              </w:rPr>
            </w:pPr>
            <w:r>
              <w:rPr>
                <w:rFonts w:hint="eastAsia" w:eastAsiaTheme="minorEastAsia"/>
                <w:sz w:val="24"/>
              </w:rPr>
              <w:t>完成情况</w:t>
            </w:r>
          </w:p>
        </w:tc>
        <w:tc>
          <w:tcPr>
            <w:tcW w:w="1065" w:type="dxa"/>
            <w:vAlign w:val="center"/>
          </w:tcPr>
          <w:p w14:paraId="64653029">
            <w:pPr>
              <w:jc w:val="center"/>
              <w:rPr>
                <w:rFonts w:eastAsiaTheme="minorEastAsia"/>
                <w:sz w:val="24"/>
              </w:rPr>
            </w:pPr>
            <w:r>
              <w:rPr>
                <w:rFonts w:hint="eastAsia" w:eastAsiaTheme="minorEastAsia"/>
                <w:sz w:val="24"/>
              </w:rPr>
              <w:t>2025年</w:t>
            </w:r>
          </w:p>
          <w:p w14:paraId="7F187AE4">
            <w:pPr>
              <w:jc w:val="center"/>
              <w:rPr>
                <w:rFonts w:eastAsiaTheme="minorEastAsia"/>
                <w:sz w:val="24"/>
              </w:rPr>
            </w:pPr>
            <w:r>
              <w:rPr>
                <w:rFonts w:hint="eastAsia" w:eastAsiaTheme="minorEastAsia"/>
                <w:sz w:val="24"/>
              </w:rPr>
              <w:t>目标</w:t>
            </w:r>
          </w:p>
        </w:tc>
        <w:tc>
          <w:tcPr>
            <w:tcW w:w="1245" w:type="dxa"/>
            <w:vAlign w:val="center"/>
          </w:tcPr>
          <w:p w14:paraId="0011868A">
            <w:pPr>
              <w:jc w:val="center"/>
              <w:rPr>
                <w:rFonts w:eastAsiaTheme="minorEastAsia"/>
                <w:sz w:val="24"/>
              </w:rPr>
            </w:pPr>
            <w:r>
              <w:rPr>
                <w:rFonts w:hint="eastAsia" w:eastAsiaTheme="minorEastAsia"/>
                <w:sz w:val="24"/>
              </w:rPr>
              <w:t>负责</w:t>
            </w:r>
          </w:p>
          <w:p w14:paraId="59A1EA43">
            <w:pPr>
              <w:jc w:val="center"/>
              <w:rPr>
                <w:rFonts w:eastAsiaTheme="minorEastAsia"/>
                <w:sz w:val="24"/>
              </w:rPr>
            </w:pPr>
            <w:r>
              <w:rPr>
                <w:rFonts w:hint="eastAsia" w:eastAsiaTheme="minorEastAsia"/>
                <w:sz w:val="24"/>
              </w:rPr>
              <w:t>部门</w:t>
            </w:r>
          </w:p>
        </w:tc>
        <w:tc>
          <w:tcPr>
            <w:tcW w:w="1320" w:type="dxa"/>
            <w:vAlign w:val="center"/>
          </w:tcPr>
          <w:p w14:paraId="4248F1AA">
            <w:pPr>
              <w:jc w:val="center"/>
              <w:rPr>
                <w:rFonts w:eastAsiaTheme="minorEastAsia"/>
                <w:sz w:val="24"/>
              </w:rPr>
            </w:pPr>
            <w:r>
              <w:rPr>
                <w:rFonts w:hint="eastAsia" w:eastAsiaTheme="minorEastAsia"/>
                <w:sz w:val="24"/>
              </w:rPr>
              <w:t>指标</w:t>
            </w:r>
          </w:p>
          <w:p w14:paraId="722A6B44">
            <w:pPr>
              <w:jc w:val="center"/>
              <w:rPr>
                <w:rFonts w:eastAsiaTheme="minorEastAsia"/>
                <w:sz w:val="24"/>
              </w:rPr>
            </w:pPr>
            <w:r>
              <w:rPr>
                <w:rFonts w:hint="eastAsia" w:eastAsiaTheme="minorEastAsia"/>
                <w:sz w:val="24"/>
              </w:rPr>
              <w:t>属性</w:t>
            </w:r>
          </w:p>
        </w:tc>
      </w:tr>
      <w:tr w14:paraId="0891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76E1464C">
            <w:pPr>
              <w:jc w:val="center"/>
              <w:rPr>
                <w:rFonts w:eastAsiaTheme="minorEastAsia"/>
                <w:sz w:val="24"/>
              </w:rPr>
            </w:pPr>
            <w:r>
              <w:rPr>
                <w:rFonts w:hint="eastAsia" w:eastAsiaTheme="minorEastAsia"/>
                <w:sz w:val="24"/>
              </w:rPr>
              <w:t>产业</w:t>
            </w:r>
          </w:p>
          <w:p w14:paraId="0048E956">
            <w:pPr>
              <w:jc w:val="center"/>
              <w:rPr>
                <w:rFonts w:eastAsiaTheme="minorEastAsia"/>
                <w:sz w:val="24"/>
              </w:rPr>
            </w:pPr>
            <w:r>
              <w:rPr>
                <w:rFonts w:hint="eastAsia" w:eastAsiaTheme="minorEastAsia"/>
                <w:sz w:val="24"/>
              </w:rPr>
              <w:t>规模</w:t>
            </w:r>
          </w:p>
        </w:tc>
        <w:tc>
          <w:tcPr>
            <w:tcW w:w="3450" w:type="dxa"/>
            <w:vAlign w:val="center"/>
          </w:tcPr>
          <w:p w14:paraId="6ED6D7BE">
            <w:pPr>
              <w:jc w:val="center"/>
              <w:rPr>
                <w:rFonts w:eastAsiaTheme="minorEastAsia"/>
                <w:sz w:val="24"/>
              </w:rPr>
            </w:pPr>
            <w:r>
              <w:rPr>
                <w:rFonts w:hint="eastAsia" w:eastAsiaTheme="minorEastAsia"/>
                <w:sz w:val="24"/>
              </w:rPr>
              <w:t>制造业增加值占地区GDP比重</w:t>
            </w:r>
          </w:p>
        </w:tc>
        <w:tc>
          <w:tcPr>
            <w:tcW w:w="885" w:type="dxa"/>
            <w:vAlign w:val="center"/>
          </w:tcPr>
          <w:p w14:paraId="329A934C">
            <w:pPr>
              <w:jc w:val="center"/>
              <w:rPr>
                <w:rFonts w:eastAsiaTheme="minorEastAsia"/>
                <w:sz w:val="24"/>
              </w:rPr>
            </w:pPr>
            <w:r>
              <w:rPr>
                <w:rFonts w:hint="eastAsia" w:eastAsiaTheme="minorEastAsia"/>
                <w:sz w:val="24"/>
              </w:rPr>
              <w:t>%</w:t>
            </w:r>
          </w:p>
        </w:tc>
        <w:tc>
          <w:tcPr>
            <w:tcW w:w="1200" w:type="dxa"/>
            <w:vAlign w:val="center"/>
          </w:tcPr>
          <w:p w14:paraId="598A63C5">
            <w:pPr>
              <w:jc w:val="center"/>
              <w:rPr>
                <w:rFonts w:eastAsiaTheme="minorEastAsia"/>
                <w:sz w:val="24"/>
              </w:rPr>
            </w:pPr>
            <w:r>
              <w:rPr>
                <w:rFonts w:hint="eastAsia" w:eastAsiaTheme="minorEastAsia"/>
                <w:sz w:val="24"/>
              </w:rPr>
              <w:t>20.3</w:t>
            </w:r>
          </w:p>
        </w:tc>
        <w:tc>
          <w:tcPr>
            <w:tcW w:w="1065" w:type="dxa"/>
            <w:vAlign w:val="center"/>
          </w:tcPr>
          <w:p w14:paraId="1405647B">
            <w:pPr>
              <w:jc w:val="center"/>
              <w:rPr>
                <w:rFonts w:eastAsiaTheme="minorEastAsia"/>
                <w:sz w:val="24"/>
              </w:rPr>
            </w:pPr>
            <w:r>
              <w:rPr>
                <w:rFonts w:hint="eastAsia" w:eastAsiaTheme="minorEastAsia"/>
                <w:sz w:val="24"/>
              </w:rPr>
              <w:t>2</w:t>
            </w:r>
            <w:r>
              <w:rPr>
                <w:rFonts w:eastAsiaTheme="minorEastAsia"/>
                <w:sz w:val="24"/>
              </w:rPr>
              <w:t>1</w:t>
            </w:r>
            <w:r>
              <w:rPr>
                <w:rFonts w:hint="eastAsia" w:eastAsiaTheme="minorEastAsia"/>
                <w:sz w:val="24"/>
              </w:rPr>
              <w:t>.5</w:t>
            </w:r>
          </w:p>
        </w:tc>
        <w:tc>
          <w:tcPr>
            <w:tcW w:w="1245" w:type="dxa"/>
            <w:vAlign w:val="center"/>
          </w:tcPr>
          <w:p w14:paraId="1F1EF2B8">
            <w:pPr>
              <w:jc w:val="center"/>
              <w:rPr>
                <w:rFonts w:eastAsiaTheme="minorEastAsia"/>
                <w:sz w:val="24"/>
              </w:rPr>
            </w:pPr>
            <w:r>
              <w:rPr>
                <w:rFonts w:hint="eastAsia" w:eastAsiaTheme="minorEastAsia"/>
                <w:sz w:val="24"/>
              </w:rPr>
              <w:t>市科工商务局</w:t>
            </w:r>
          </w:p>
        </w:tc>
        <w:tc>
          <w:tcPr>
            <w:tcW w:w="1320" w:type="dxa"/>
            <w:vAlign w:val="center"/>
          </w:tcPr>
          <w:p w14:paraId="5176B8E9">
            <w:pPr>
              <w:jc w:val="center"/>
              <w:rPr>
                <w:rFonts w:eastAsiaTheme="minorEastAsia"/>
                <w:sz w:val="24"/>
              </w:rPr>
            </w:pPr>
            <w:r>
              <w:rPr>
                <w:rFonts w:hint="eastAsia" w:eastAsiaTheme="minorEastAsia"/>
                <w:sz w:val="24"/>
              </w:rPr>
              <w:t>预期性</w:t>
            </w:r>
          </w:p>
        </w:tc>
      </w:tr>
      <w:tr w14:paraId="4725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3D449043">
            <w:pPr>
              <w:jc w:val="center"/>
              <w:rPr>
                <w:rFonts w:eastAsiaTheme="minorEastAsia"/>
                <w:sz w:val="24"/>
              </w:rPr>
            </w:pPr>
          </w:p>
        </w:tc>
        <w:tc>
          <w:tcPr>
            <w:tcW w:w="3450" w:type="dxa"/>
            <w:vAlign w:val="center"/>
          </w:tcPr>
          <w:p w14:paraId="55A3B494">
            <w:pPr>
              <w:jc w:val="center"/>
              <w:rPr>
                <w:rFonts w:eastAsiaTheme="minorEastAsia"/>
                <w:sz w:val="24"/>
              </w:rPr>
            </w:pPr>
            <w:r>
              <w:rPr>
                <w:rFonts w:hint="eastAsia" w:eastAsiaTheme="minorEastAsia"/>
                <w:sz w:val="24"/>
              </w:rPr>
              <w:t>先进制造业增加值占规模以上工业增加值的比重</w:t>
            </w:r>
          </w:p>
        </w:tc>
        <w:tc>
          <w:tcPr>
            <w:tcW w:w="885" w:type="dxa"/>
            <w:vAlign w:val="center"/>
          </w:tcPr>
          <w:p w14:paraId="28B50063">
            <w:pPr>
              <w:jc w:val="center"/>
              <w:rPr>
                <w:rFonts w:eastAsiaTheme="minorEastAsia"/>
                <w:sz w:val="24"/>
              </w:rPr>
            </w:pPr>
            <w:r>
              <w:rPr>
                <w:rFonts w:hint="eastAsia" w:eastAsiaTheme="minorEastAsia"/>
                <w:sz w:val="24"/>
              </w:rPr>
              <w:t>%</w:t>
            </w:r>
          </w:p>
        </w:tc>
        <w:tc>
          <w:tcPr>
            <w:tcW w:w="1200" w:type="dxa"/>
            <w:vAlign w:val="center"/>
          </w:tcPr>
          <w:p w14:paraId="5AB097CD">
            <w:pPr>
              <w:jc w:val="center"/>
              <w:rPr>
                <w:rFonts w:eastAsiaTheme="minorEastAsia"/>
                <w:sz w:val="24"/>
              </w:rPr>
            </w:pPr>
            <w:r>
              <w:rPr>
                <w:rFonts w:eastAsiaTheme="minorEastAsia"/>
                <w:sz w:val="24"/>
              </w:rPr>
              <w:t>32.4</w:t>
            </w:r>
          </w:p>
        </w:tc>
        <w:tc>
          <w:tcPr>
            <w:tcW w:w="1065" w:type="dxa"/>
            <w:vAlign w:val="center"/>
          </w:tcPr>
          <w:p w14:paraId="47399F94">
            <w:pPr>
              <w:jc w:val="center"/>
              <w:rPr>
                <w:rFonts w:eastAsiaTheme="minorEastAsia"/>
                <w:sz w:val="24"/>
              </w:rPr>
            </w:pPr>
            <w:r>
              <w:rPr>
                <w:rFonts w:eastAsiaTheme="minorEastAsia"/>
                <w:sz w:val="24"/>
              </w:rPr>
              <w:t>33</w:t>
            </w:r>
          </w:p>
        </w:tc>
        <w:tc>
          <w:tcPr>
            <w:tcW w:w="1245" w:type="dxa"/>
            <w:vAlign w:val="center"/>
          </w:tcPr>
          <w:p w14:paraId="0238F4D1">
            <w:pPr>
              <w:jc w:val="center"/>
              <w:rPr>
                <w:rFonts w:eastAsiaTheme="minorEastAsia"/>
                <w:sz w:val="24"/>
              </w:rPr>
            </w:pPr>
            <w:r>
              <w:rPr>
                <w:rFonts w:hint="eastAsia" w:eastAsiaTheme="minorEastAsia"/>
                <w:sz w:val="24"/>
              </w:rPr>
              <w:t>市科工商务局</w:t>
            </w:r>
          </w:p>
        </w:tc>
        <w:tc>
          <w:tcPr>
            <w:tcW w:w="1320" w:type="dxa"/>
            <w:vAlign w:val="center"/>
          </w:tcPr>
          <w:p w14:paraId="30E4AA3A">
            <w:pPr>
              <w:jc w:val="center"/>
              <w:rPr>
                <w:rFonts w:eastAsiaTheme="minorEastAsia"/>
                <w:sz w:val="24"/>
              </w:rPr>
            </w:pPr>
            <w:r>
              <w:rPr>
                <w:rFonts w:hint="eastAsia" w:eastAsiaTheme="minorEastAsia"/>
                <w:sz w:val="24"/>
              </w:rPr>
              <w:t>预期性</w:t>
            </w:r>
          </w:p>
        </w:tc>
      </w:tr>
      <w:tr w14:paraId="4616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5ADE4F23">
            <w:pPr>
              <w:jc w:val="center"/>
              <w:rPr>
                <w:rFonts w:eastAsiaTheme="minorEastAsia"/>
                <w:sz w:val="24"/>
              </w:rPr>
            </w:pPr>
          </w:p>
        </w:tc>
        <w:tc>
          <w:tcPr>
            <w:tcW w:w="3450" w:type="dxa"/>
            <w:vAlign w:val="center"/>
          </w:tcPr>
          <w:p w14:paraId="05DBF37A">
            <w:pPr>
              <w:jc w:val="center"/>
              <w:rPr>
                <w:rFonts w:eastAsiaTheme="minorEastAsia"/>
                <w:sz w:val="24"/>
              </w:rPr>
            </w:pPr>
            <w:r>
              <w:rPr>
                <w:rFonts w:hint="eastAsia" w:eastAsiaTheme="minorEastAsia"/>
                <w:sz w:val="24"/>
              </w:rPr>
              <w:t>高技术制造业占规模以上工业增加值的比重</w:t>
            </w:r>
          </w:p>
        </w:tc>
        <w:tc>
          <w:tcPr>
            <w:tcW w:w="885" w:type="dxa"/>
            <w:vAlign w:val="center"/>
          </w:tcPr>
          <w:p w14:paraId="5793CA2E">
            <w:pPr>
              <w:jc w:val="center"/>
              <w:rPr>
                <w:rFonts w:eastAsiaTheme="minorEastAsia"/>
                <w:sz w:val="24"/>
              </w:rPr>
            </w:pPr>
            <w:r>
              <w:rPr>
                <w:rFonts w:hint="eastAsia" w:eastAsiaTheme="minorEastAsia"/>
                <w:sz w:val="24"/>
              </w:rPr>
              <w:t>%</w:t>
            </w:r>
          </w:p>
        </w:tc>
        <w:tc>
          <w:tcPr>
            <w:tcW w:w="1200" w:type="dxa"/>
            <w:vAlign w:val="center"/>
          </w:tcPr>
          <w:p w14:paraId="1E1E9DA5">
            <w:pPr>
              <w:jc w:val="center"/>
              <w:rPr>
                <w:rFonts w:eastAsiaTheme="minorEastAsia"/>
                <w:sz w:val="24"/>
              </w:rPr>
            </w:pPr>
            <w:r>
              <w:rPr>
                <w:rFonts w:eastAsiaTheme="minorEastAsia"/>
                <w:sz w:val="24"/>
              </w:rPr>
              <w:t>7.75</w:t>
            </w:r>
          </w:p>
        </w:tc>
        <w:tc>
          <w:tcPr>
            <w:tcW w:w="1065" w:type="dxa"/>
            <w:vAlign w:val="center"/>
          </w:tcPr>
          <w:p w14:paraId="51A3D0C1">
            <w:pPr>
              <w:jc w:val="center"/>
              <w:rPr>
                <w:rFonts w:eastAsiaTheme="minorEastAsia"/>
                <w:sz w:val="24"/>
              </w:rPr>
            </w:pPr>
            <w:r>
              <w:rPr>
                <w:rFonts w:eastAsiaTheme="minorEastAsia"/>
                <w:sz w:val="24"/>
              </w:rPr>
              <w:t>8</w:t>
            </w:r>
          </w:p>
        </w:tc>
        <w:tc>
          <w:tcPr>
            <w:tcW w:w="1245" w:type="dxa"/>
            <w:vAlign w:val="center"/>
          </w:tcPr>
          <w:p w14:paraId="4BE45959">
            <w:pPr>
              <w:jc w:val="center"/>
              <w:rPr>
                <w:rFonts w:eastAsiaTheme="minorEastAsia"/>
                <w:sz w:val="24"/>
              </w:rPr>
            </w:pPr>
            <w:r>
              <w:rPr>
                <w:rFonts w:hint="eastAsia" w:eastAsiaTheme="minorEastAsia"/>
                <w:sz w:val="24"/>
              </w:rPr>
              <w:t>市发改局</w:t>
            </w:r>
          </w:p>
        </w:tc>
        <w:tc>
          <w:tcPr>
            <w:tcW w:w="1320" w:type="dxa"/>
            <w:vAlign w:val="center"/>
          </w:tcPr>
          <w:p w14:paraId="25E64593">
            <w:pPr>
              <w:jc w:val="center"/>
              <w:rPr>
                <w:rFonts w:eastAsiaTheme="minorEastAsia"/>
                <w:sz w:val="24"/>
              </w:rPr>
            </w:pPr>
            <w:r>
              <w:rPr>
                <w:rFonts w:hint="eastAsia" w:eastAsiaTheme="minorEastAsia"/>
                <w:sz w:val="24"/>
              </w:rPr>
              <w:t>预期性</w:t>
            </w:r>
          </w:p>
        </w:tc>
      </w:tr>
      <w:tr w14:paraId="0596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59F5EEEC">
            <w:pPr>
              <w:jc w:val="center"/>
              <w:rPr>
                <w:rFonts w:eastAsiaTheme="minorEastAsia"/>
                <w:sz w:val="24"/>
              </w:rPr>
            </w:pPr>
            <w:r>
              <w:rPr>
                <w:rFonts w:hint="eastAsia" w:eastAsiaTheme="minorEastAsia"/>
                <w:sz w:val="24"/>
              </w:rPr>
              <w:t>创新</w:t>
            </w:r>
          </w:p>
          <w:p w14:paraId="58339A8C">
            <w:pPr>
              <w:jc w:val="center"/>
              <w:rPr>
                <w:rFonts w:eastAsiaTheme="minorEastAsia"/>
                <w:sz w:val="24"/>
              </w:rPr>
            </w:pPr>
            <w:r>
              <w:rPr>
                <w:rFonts w:hint="eastAsia" w:eastAsiaTheme="minorEastAsia"/>
                <w:sz w:val="24"/>
              </w:rPr>
              <w:t>发展</w:t>
            </w:r>
          </w:p>
        </w:tc>
        <w:tc>
          <w:tcPr>
            <w:tcW w:w="3450" w:type="dxa"/>
            <w:vAlign w:val="center"/>
          </w:tcPr>
          <w:p w14:paraId="0722DF78">
            <w:pPr>
              <w:jc w:val="center"/>
              <w:rPr>
                <w:rFonts w:eastAsiaTheme="minorEastAsia"/>
                <w:sz w:val="24"/>
              </w:rPr>
            </w:pPr>
            <w:r>
              <w:rPr>
                <w:rFonts w:hint="eastAsia" w:eastAsiaTheme="minorEastAsia"/>
                <w:sz w:val="24"/>
              </w:rPr>
              <w:t>规上制造业企业研发经费支出占主营业务收入比重</w:t>
            </w:r>
          </w:p>
        </w:tc>
        <w:tc>
          <w:tcPr>
            <w:tcW w:w="885" w:type="dxa"/>
            <w:vAlign w:val="center"/>
          </w:tcPr>
          <w:p w14:paraId="5590F4FB">
            <w:pPr>
              <w:jc w:val="center"/>
              <w:rPr>
                <w:rFonts w:eastAsiaTheme="minorEastAsia"/>
                <w:sz w:val="24"/>
              </w:rPr>
            </w:pPr>
            <w:r>
              <w:rPr>
                <w:rFonts w:hint="eastAsia" w:eastAsiaTheme="minorEastAsia"/>
                <w:sz w:val="24"/>
              </w:rPr>
              <w:t>%</w:t>
            </w:r>
          </w:p>
        </w:tc>
        <w:tc>
          <w:tcPr>
            <w:tcW w:w="1200" w:type="dxa"/>
            <w:vAlign w:val="center"/>
          </w:tcPr>
          <w:p w14:paraId="345FF27B">
            <w:pPr>
              <w:jc w:val="center"/>
              <w:rPr>
                <w:rFonts w:eastAsiaTheme="minorEastAsia"/>
                <w:sz w:val="24"/>
              </w:rPr>
            </w:pPr>
            <w:r>
              <w:rPr>
                <w:rFonts w:hint="eastAsia" w:eastAsiaTheme="minorEastAsia"/>
                <w:sz w:val="24"/>
              </w:rPr>
              <w:t>未反馈</w:t>
            </w:r>
          </w:p>
        </w:tc>
        <w:tc>
          <w:tcPr>
            <w:tcW w:w="1065" w:type="dxa"/>
            <w:vAlign w:val="center"/>
          </w:tcPr>
          <w:p w14:paraId="0952167A">
            <w:pPr>
              <w:jc w:val="center"/>
              <w:rPr>
                <w:rFonts w:eastAsiaTheme="minorEastAsia"/>
                <w:sz w:val="24"/>
              </w:rPr>
            </w:pPr>
            <w:r>
              <w:rPr>
                <w:rFonts w:hint="eastAsia" w:eastAsiaTheme="minorEastAsia"/>
                <w:sz w:val="24"/>
              </w:rPr>
              <w:t>2.2</w:t>
            </w:r>
          </w:p>
        </w:tc>
        <w:tc>
          <w:tcPr>
            <w:tcW w:w="1245" w:type="dxa"/>
            <w:vAlign w:val="center"/>
          </w:tcPr>
          <w:p w14:paraId="0E34F971">
            <w:pPr>
              <w:jc w:val="center"/>
              <w:rPr>
                <w:rFonts w:eastAsiaTheme="minorEastAsia"/>
                <w:sz w:val="24"/>
              </w:rPr>
            </w:pPr>
            <w:r>
              <w:rPr>
                <w:rFonts w:hint="eastAsia" w:eastAsiaTheme="minorEastAsia"/>
                <w:sz w:val="24"/>
              </w:rPr>
              <w:t>市科工商务局</w:t>
            </w:r>
          </w:p>
        </w:tc>
        <w:tc>
          <w:tcPr>
            <w:tcW w:w="1320" w:type="dxa"/>
            <w:vAlign w:val="center"/>
          </w:tcPr>
          <w:p w14:paraId="120D6FE7">
            <w:pPr>
              <w:jc w:val="center"/>
              <w:rPr>
                <w:rFonts w:eastAsiaTheme="minorEastAsia"/>
                <w:sz w:val="24"/>
              </w:rPr>
            </w:pPr>
            <w:r>
              <w:rPr>
                <w:rFonts w:hint="eastAsia" w:eastAsiaTheme="minorEastAsia"/>
                <w:sz w:val="24"/>
              </w:rPr>
              <w:t>预期性</w:t>
            </w:r>
          </w:p>
        </w:tc>
      </w:tr>
      <w:tr w14:paraId="313E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48A9573">
            <w:pPr>
              <w:jc w:val="center"/>
              <w:rPr>
                <w:rFonts w:eastAsiaTheme="minorEastAsia"/>
                <w:sz w:val="24"/>
              </w:rPr>
            </w:pPr>
          </w:p>
        </w:tc>
        <w:tc>
          <w:tcPr>
            <w:tcW w:w="3450" w:type="dxa"/>
            <w:vAlign w:val="center"/>
          </w:tcPr>
          <w:p w14:paraId="369C7DFD">
            <w:pPr>
              <w:jc w:val="center"/>
              <w:rPr>
                <w:rFonts w:eastAsiaTheme="minorEastAsia"/>
                <w:sz w:val="24"/>
              </w:rPr>
            </w:pPr>
            <w:r>
              <w:rPr>
                <w:rFonts w:hint="eastAsia" w:eastAsiaTheme="minorEastAsia"/>
                <w:sz w:val="24"/>
              </w:rPr>
              <w:t>有效发明专利数</w:t>
            </w:r>
          </w:p>
        </w:tc>
        <w:tc>
          <w:tcPr>
            <w:tcW w:w="885" w:type="dxa"/>
            <w:vAlign w:val="center"/>
          </w:tcPr>
          <w:p w14:paraId="2723E5B2">
            <w:pPr>
              <w:jc w:val="center"/>
              <w:rPr>
                <w:rFonts w:eastAsiaTheme="minorEastAsia"/>
                <w:sz w:val="24"/>
              </w:rPr>
            </w:pPr>
            <w:r>
              <w:rPr>
                <w:rFonts w:hint="eastAsia" w:eastAsiaTheme="minorEastAsia"/>
                <w:sz w:val="24"/>
              </w:rPr>
              <w:t>件</w:t>
            </w:r>
          </w:p>
        </w:tc>
        <w:tc>
          <w:tcPr>
            <w:tcW w:w="1200" w:type="dxa"/>
            <w:vAlign w:val="center"/>
          </w:tcPr>
          <w:p w14:paraId="3D96843D">
            <w:pPr>
              <w:jc w:val="center"/>
              <w:rPr>
                <w:rFonts w:eastAsiaTheme="minorEastAsia"/>
                <w:sz w:val="24"/>
              </w:rPr>
            </w:pPr>
            <w:r>
              <w:rPr>
                <w:rFonts w:hint="eastAsia" w:eastAsiaTheme="minorEastAsia"/>
                <w:sz w:val="24"/>
              </w:rPr>
              <w:t>216</w:t>
            </w:r>
          </w:p>
        </w:tc>
        <w:tc>
          <w:tcPr>
            <w:tcW w:w="1065" w:type="dxa"/>
            <w:vAlign w:val="center"/>
          </w:tcPr>
          <w:p w14:paraId="6415E69F">
            <w:pPr>
              <w:jc w:val="center"/>
              <w:rPr>
                <w:rFonts w:eastAsiaTheme="minorEastAsia"/>
                <w:sz w:val="24"/>
              </w:rPr>
            </w:pPr>
            <w:r>
              <w:rPr>
                <w:rFonts w:hint="eastAsia" w:eastAsiaTheme="minorEastAsia"/>
                <w:sz w:val="24"/>
              </w:rPr>
              <w:t>260</w:t>
            </w:r>
          </w:p>
        </w:tc>
        <w:tc>
          <w:tcPr>
            <w:tcW w:w="1245" w:type="dxa"/>
            <w:vAlign w:val="center"/>
          </w:tcPr>
          <w:p w14:paraId="3E85FB71">
            <w:pPr>
              <w:jc w:val="center"/>
              <w:rPr>
                <w:rFonts w:eastAsiaTheme="minorEastAsia"/>
                <w:sz w:val="24"/>
              </w:rPr>
            </w:pPr>
            <w:r>
              <w:rPr>
                <w:rFonts w:hint="eastAsia" w:eastAsiaTheme="minorEastAsia"/>
                <w:sz w:val="24"/>
              </w:rPr>
              <w:t>市市场监管局</w:t>
            </w:r>
          </w:p>
        </w:tc>
        <w:tc>
          <w:tcPr>
            <w:tcW w:w="1320" w:type="dxa"/>
            <w:vAlign w:val="center"/>
          </w:tcPr>
          <w:p w14:paraId="059FEDD2">
            <w:pPr>
              <w:jc w:val="center"/>
              <w:rPr>
                <w:rFonts w:eastAsiaTheme="minorEastAsia"/>
                <w:sz w:val="24"/>
              </w:rPr>
            </w:pPr>
            <w:r>
              <w:rPr>
                <w:rFonts w:hint="eastAsia" w:eastAsiaTheme="minorEastAsia"/>
                <w:sz w:val="24"/>
              </w:rPr>
              <w:t>预期性</w:t>
            </w:r>
          </w:p>
        </w:tc>
      </w:tr>
      <w:tr w14:paraId="6E2D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E389505">
            <w:pPr>
              <w:jc w:val="center"/>
              <w:rPr>
                <w:rFonts w:eastAsiaTheme="minorEastAsia"/>
                <w:sz w:val="24"/>
              </w:rPr>
            </w:pPr>
          </w:p>
        </w:tc>
        <w:tc>
          <w:tcPr>
            <w:tcW w:w="3450" w:type="dxa"/>
            <w:vAlign w:val="center"/>
          </w:tcPr>
          <w:p w14:paraId="4A14C4F2">
            <w:pPr>
              <w:jc w:val="center"/>
              <w:rPr>
                <w:rFonts w:eastAsiaTheme="minorEastAsia"/>
                <w:sz w:val="24"/>
              </w:rPr>
            </w:pPr>
            <w:r>
              <w:rPr>
                <w:rFonts w:hint="eastAsia" w:eastAsiaTheme="minorEastAsia"/>
                <w:sz w:val="24"/>
              </w:rPr>
              <w:t>规模以上工业企业研发机构</w:t>
            </w:r>
          </w:p>
          <w:p w14:paraId="03FEBD97">
            <w:pPr>
              <w:jc w:val="center"/>
              <w:rPr>
                <w:rFonts w:eastAsiaTheme="minorEastAsia"/>
                <w:sz w:val="24"/>
              </w:rPr>
            </w:pPr>
            <w:r>
              <w:rPr>
                <w:rFonts w:hint="eastAsia" w:eastAsiaTheme="minorEastAsia"/>
                <w:sz w:val="24"/>
              </w:rPr>
              <w:t>覆盖率</w:t>
            </w:r>
          </w:p>
        </w:tc>
        <w:tc>
          <w:tcPr>
            <w:tcW w:w="885" w:type="dxa"/>
            <w:vAlign w:val="center"/>
          </w:tcPr>
          <w:p w14:paraId="700B88AF">
            <w:pPr>
              <w:jc w:val="center"/>
              <w:rPr>
                <w:rFonts w:eastAsiaTheme="minorEastAsia"/>
                <w:sz w:val="24"/>
              </w:rPr>
            </w:pPr>
            <w:r>
              <w:rPr>
                <w:rFonts w:hint="eastAsia" w:eastAsiaTheme="minorEastAsia"/>
                <w:sz w:val="24"/>
              </w:rPr>
              <w:t>%</w:t>
            </w:r>
          </w:p>
        </w:tc>
        <w:tc>
          <w:tcPr>
            <w:tcW w:w="1200" w:type="dxa"/>
            <w:vAlign w:val="center"/>
          </w:tcPr>
          <w:p w14:paraId="266F201C">
            <w:pPr>
              <w:jc w:val="center"/>
              <w:rPr>
                <w:rFonts w:eastAsiaTheme="minorEastAsia"/>
                <w:sz w:val="24"/>
              </w:rPr>
            </w:pPr>
            <w:r>
              <w:rPr>
                <w:rFonts w:hint="eastAsia" w:eastAsiaTheme="minorEastAsia"/>
                <w:sz w:val="24"/>
              </w:rPr>
              <w:t>62</w:t>
            </w:r>
          </w:p>
        </w:tc>
        <w:tc>
          <w:tcPr>
            <w:tcW w:w="1065" w:type="dxa"/>
            <w:vAlign w:val="center"/>
          </w:tcPr>
          <w:p w14:paraId="0B303685">
            <w:pPr>
              <w:jc w:val="center"/>
              <w:rPr>
                <w:rFonts w:eastAsiaTheme="minorEastAsia"/>
                <w:sz w:val="24"/>
              </w:rPr>
            </w:pPr>
            <w:r>
              <w:rPr>
                <w:rFonts w:hint="eastAsia" w:eastAsiaTheme="minorEastAsia"/>
                <w:sz w:val="24"/>
              </w:rPr>
              <w:t>62</w:t>
            </w:r>
            <w:r>
              <w:rPr>
                <w:rFonts w:eastAsiaTheme="minorEastAsia"/>
                <w:sz w:val="24"/>
              </w:rPr>
              <w:t>.5</w:t>
            </w:r>
          </w:p>
        </w:tc>
        <w:tc>
          <w:tcPr>
            <w:tcW w:w="1245" w:type="dxa"/>
            <w:vAlign w:val="center"/>
          </w:tcPr>
          <w:p w14:paraId="3951143C">
            <w:pPr>
              <w:jc w:val="center"/>
              <w:rPr>
                <w:rFonts w:eastAsiaTheme="minorEastAsia"/>
                <w:sz w:val="24"/>
              </w:rPr>
            </w:pPr>
            <w:r>
              <w:rPr>
                <w:rFonts w:hint="eastAsia" w:eastAsiaTheme="minorEastAsia"/>
                <w:sz w:val="24"/>
              </w:rPr>
              <w:t>市科工商务局</w:t>
            </w:r>
          </w:p>
        </w:tc>
        <w:tc>
          <w:tcPr>
            <w:tcW w:w="1320" w:type="dxa"/>
            <w:vAlign w:val="center"/>
          </w:tcPr>
          <w:p w14:paraId="66151076">
            <w:pPr>
              <w:jc w:val="center"/>
              <w:rPr>
                <w:rFonts w:eastAsiaTheme="minorEastAsia"/>
                <w:sz w:val="24"/>
              </w:rPr>
            </w:pPr>
            <w:r>
              <w:rPr>
                <w:rFonts w:hint="eastAsia" w:eastAsiaTheme="minorEastAsia"/>
                <w:sz w:val="24"/>
              </w:rPr>
              <w:t>预期性</w:t>
            </w:r>
          </w:p>
        </w:tc>
      </w:tr>
      <w:tr w14:paraId="683B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DDA10F8">
            <w:pPr>
              <w:jc w:val="center"/>
              <w:rPr>
                <w:rFonts w:eastAsiaTheme="minorEastAsia"/>
                <w:sz w:val="24"/>
              </w:rPr>
            </w:pPr>
          </w:p>
        </w:tc>
        <w:tc>
          <w:tcPr>
            <w:tcW w:w="3450" w:type="dxa"/>
            <w:vAlign w:val="center"/>
          </w:tcPr>
          <w:p w14:paraId="697E4F2D">
            <w:pPr>
              <w:jc w:val="center"/>
              <w:rPr>
                <w:rFonts w:eastAsiaTheme="minorEastAsia"/>
                <w:sz w:val="24"/>
              </w:rPr>
            </w:pPr>
            <w:r>
              <w:rPr>
                <w:rFonts w:hint="eastAsia" w:eastAsiaTheme="minorEastAsia"/>
                <w:sz w:val="24"/>
              </w:rPr>
              <w:t>省级及以上科技创新平台数量</w:t>
            </w:r>
          </w:p>
        </w:tc>
        <w:tc>
          <w:tcPr>
            <w:tcW w:w="885" w:type="dxa"/>
            <w:vAlign w:val="center"/>
          </w:tcPr>
          <w:p w14:paraId="46134070">
            <w:pPr>
              <w:jc w:val="center"/>
              <w:rPr>
                <w:rFonts w:eastAsiaTheme="minorEastAsia"/>
                <w:sz w:val="24"/>
              </w:rPr>
            </w:pPr>
            <w:r>
              <w:rPr>
                <w:rFonts w:hint="eastAsia" w:eastAsiaTheme="minorEastAsia"/>
                <w:sz w:val="24"/>
              </w:rPr>
              <w:t>个</w:t>
            </w:r>
          </w:p>
        </w:tc>
        <w:tc>
          <w:tcPr>
            <w:tcW w:w="1200" w:type="dxa"/>
            <w:vAlign w:val="center"/>
          </w:tcPr>
          <w:p w14:paraId="10144345">
            <w:pPr>
              <w:jc w:val="center"/>
              <w:rPr>
                <w:rFonts w:eastAsiaTheme="minorEastAsia"/>
                <w:sz w:val="24"/>
              </w:rPr>
            </w:pPr>
            <w:r>
              <w:rPr>
                <w:rFonts w:hint="eastAsia" w:eastAsiaTheme="minorEastAsia"/>
                <w:sz w:val="24"/>
              </w:rPr>
              <w:t>21</w:t>
            </w:r>
          </w:p>
        </w:tc>
        <w:tc>
          <w:tcPr>
            <w:tcW w:w="1065" w:type="dxa"/>
            <w:vAlign w:val="center"/>
          </w:tcPr>
          <w:p w14:paraId="6BA18F2D">
            <w:pPr>
              <w:jc w:val="center"/>
              <w:rPr>
                <w:rFonts w:eastAsiaTheme="minorEastAsia"/>
                <w:sz w:val="24"/>
              </w:rPr>
            </w:pPr>
            <w:r>
              <w:rPr>
                <w:rFonts w:hint="eastAsia" w:eastAsiaTheme="minorEastAsia"/>
                <w:sz w:val="24"/>
              </w:rPr>
              <w:t>25</w:t>
            </w:r>
          </w:p>
        </w:tc>
        <w:tc>
          <w:tcPr>
            <w:tcW w:w="1245" w:type="dxa"/>
            <w:vAlign w:val="center"/>
          </w:tcPr>
          <w:p w14:paraId="42B70DA8">
            <w:pPr>
              <w:jc w:val="center"/>
              <w:rPr>
                <w:rFonts w:eastAsiaTheme="minorEastAsia"/>
                <w:sz w:val="24"/>
              </w:rPr>
            </w:pPr>
            <w:r>
              <w:rPr>
                <w:rFonts w:hint="eastAsia" w:eastAsiaTheme="minorEastAsia"/>
                <w:sz w:val="24"/>
              </w:rPr>
              <w:t>市科工商务局</w:t>
            </w:r>
          </w:p>
        </w:tc>
        <w:tc>
          <w:tcPr>
            <w:tcW w:w="1320" w:type="dxa"/>
            <w:vAlign w:val="center"/>
          </w:tcPr>
          <w:p w14:paraId="7AADE27F">
            <w:pPr>
              <w:jc w:val="center"/>
              <w:rPr>
                <w:rFonts w:eastAsiaTheme="minorEastAsia"/>
                <w:sz w:val="24"/>
              </w:rPr>
            </w:pPr>
            <w:r>
              <w:rPr>
                <w:rFonts w:hint="eastAsia" w:eastAsiaTheme="minorEastAsia"/>
                <w:sz w:val="24"/>
              </w:rPr>
              <w:t>预期性</w:t>
            </w:r>
          </w:p>
        </w:tc>
      </w:tr>
      <w:tr w14:paraId="4BBC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052F6C3B">
            <w:pPr>
              <w:jc w:val="center"/>
              <w:rPr>
                <w:rFonts w:eastAsiaTheme="minorEastAsia"/>
                <w:sz w:val="24"/>
              </w:rPr>
            </w:pPr>
          </w:p>
        </w:tc>
        <w:tc>
          <w:tcPr>
            <w:tcW w:w="3450" w:type="dxa"/>
            <w:vAlign w:val="center"/>
          </w:tcPr>
          <w:p w14:paraId="0563F588">
            <w:pPr>
              <w:jc w:val="center"/>
              <w:rPr>
                <w:rFonts w:eastAsiaTheme="minorEastAsia"/>
                <w:sz w:val="24"/>
              </w:rPr>
            </w:pPr>
            <w:r>
              <w:rPr>
                <w:rFonts w:hint="eastAsia" w:eastAsiaTheme="minorEastAsia"/>
                <w:sz w:val="24"/>
              </w:rPr>
              <w:t>技改投资年均增长</w:t>
            </w:r>
          </w:p>
        </w:tc>
        <w:tc>
          <w:tcPr>
            <w:tcW w:w="885" w:type="dxa"/>
            <w:vAlign w:val="center"/>
          </w:tcPr>
          <w:p w14:paraId="317D4339">
            <w:pPr>
              <w:jc w:val="center"/>
              <w:rPr>
                <w:rFonts w:eastAsiaTheme="minorEastAsia"/>
                <w:sz w:val="24"/>
              </w:rPr>
            </w:pPr>
            <w:r>
              <w:rPr>
                <w:rFonts w:hint="eastAsia" w:eastAsiaTheme="minorEastAsia"/>
                <w:sz w:val="24"/>
              </w:rPr>
              <w:t>%</w:t>
            </w:r>
          </w:p>
        </w:tc>
        <w:tc>
          <w:tcPr>
            <w:tcW w:w="1200" w:type="dxa"/>
            <w:vAlign w:val="center"/>
          </w:tcPr>
          <w:p w14:paraId="52A7C76E">
            <w:pPr>
              <w:jc w:val="center"/>
              <w:rPr>
                <w:rFonts w:eastAsiaTheme="minorEastAsia"/>
                <w:sz w:val="24"/>
              </w:rPr>
            </w:pPr>
            <w:r>
              <w:rPr>
                <w:rFonts w:hint="eastAsia" w:eastAsiaTheme="minorEastAsia"/>
                <w:sz w:val="24"/>
              </w:rPr>
              <w:t>-8.4</w:t>
            </w:r>
          </w:p>
        </w:tc>
        <w:tc>
          <w:tcPr>
            <w:tcW w:w="1065" w:type="dxa"/>
            <w:vAlign w:val="center"/>
          </w:tcPr>
          <w:p w14:paraId="6D561CA5">
            <w:pPr>
              <w:jc w:val="center"/>
              <w:rPr>
                <w:rFonts w:eastAsiaTheme="minorEastAsia"/>
                <w:sz w:val="24"/>
              </w:rPr>
            </w:pPr>
            <w:r>
              <w:rPr>
                <w:rFonts w:hint="eastAsia" w:eastAsiaTheme="minorEastAsia"/>
                <w:sz w:val="24"/>
              </w:rPr>
              <w:t>15</w:t>
            </w:r>
          </w:p>
        </w:tc>
        <w:tc>
          <w:tcPr>
            <w:tcW w:w="1245" w:type="dxa"/>
            <w:vAlign w:val="center"/>
          </w:tcPr>
          <w:p w14:paraId="6C4C0318">
            <w:pPr>
              <w:jc w:val="center"/>
              <w:rPr>
                <w:rFonts w:eastAsiaTheme="minorEastAsia"/>
                <w:sz w:val="24"/>
              </w:rPr>
            </w:pPr>
            <w:r>
              <w:rPr>
                <w:rFonts w:hint="eastAsia" w:eastAsiaTheme="minorEastAsia"/>
                <w:sz w:val="24"/>
              </w:rPr>
              <w:t>市科工商务局</w:t>
            </w:r>
          </w:p>
        </w:tc>
        <w:tc>
          <w:tcPr>
            <w:tcW w:w="1320" w:type="dxa"/>
            <w:vAlign w:val="center"/>
          </w:tcPr>
          <w:p w14:paraId="24428E73">
            <w:pPr>
              <w:jc w:val="center"/>
              <w:rPr>
                <w:rFonts w:eastAsiaTheme="minorEastAsia"/>
                <w:sz w:val="24"/>
              </w:rPr>
            </w:pPr>
            <w:r>
              <w:rPr>
                <w:rFonts w:hint="eastAsia" w:eastAsiaTheme="minorEastAsia"/>
                <w:sz w:val="24"/>
              </w:rPr>
              <w:t>预期性</w:t>
            </w:r>
          </w:p>
        </w:tc>
      </w:tr>
      <w:tr w14:paraId="33A1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61F21DA4">
            <w:pPr>
              <w:jc w:val="center"/>
              <w:rPr>
                <w:rFonts w:eastAsiaTheme="minorEastAsia"/>
                <w:sz w:val="24"/>
              </w:rPr>
            </w:pPr>
            <w:r>
              <w:rPr>
                <w:rFonts w:hint="eastAsia" w:eastAsiaTheme="minorEastAsia"/>
                <w:sz w:val="24"/>
              </w:rPr>
              <w:t>质量</w:t>
            </w:r>
          </w:p>
          <w:p w14:paraId="12EADAD9">
            <w:pPr>
              <w:jc w:val="center"/>
              <w:rPr>
                <w:rFonts w:eastAsiaTheme="minorEastAsia"/>
                <w:sz w:val="24"/>
              </w:rPr>
            </w:pPr>
            <w:r>
              <w:rPr>
                <w:rFonts w:hint="eastAsia" w:eastAsiaTheme="minorEastAsia"/>
                <w:sz w:val="24"/>
              </w:rPr>
              <w:t>效益</w:t>
            </w:r>
          </w:p>
        </w:tc>
        <w:tc>
          <w:tcPr>
            <w:tcW w:w="3450" w:type="dxa"/>
            <w:vAlign w:val="center"/>
          </w:tcPr>
          <w:p w14:paraId="27C92522">
            <w:pPr>
              <w:jc w:val="center"/>
              <w:rPr>
                <w:rFonts w:eastAsiaTheme="minorEastAsia"/>
                <w:sz w:val="24"/>
              </w:rPr>
            </w:pPr>
            <w:r>
              <w:rPr>
                <w:rFonts w:hint="eastAsia" w:eastAsiaTheme="minorEastAsia"/>
                <w:sz w:val="24"/>
              </w:rPr>
              <w:t>制造业产品质量合格率</w:t>
            </w:r>
          </w:p>
        </w:tc>
        <w:tc>
          <w:tcPr>
            <w:tcW w:w="885" w:type="dxa"/>
            <w:vAlign w:val="center"/>
          </w:tcPr>
          <w:p w14:paraId="5978BA37">
            <w:pPr>
              <w:jc w:val="center"/>
              <w:rPr>
                <w:rFonts w:eastAsiaTheme="minorEastAsia"/>
                <w:sz w:val="24"/>
              </w:rPr>
            </w:pPr>
            <w:r>
              <w:rPr>
                <w:rFonts w:hint="eastAsia" w:eastAsiaTheme="minorEastAsia"/>
                <w:sz w:val="24"/>
              </w:rPr>
              <w:t>%</w:t>
            </w:r>
          </w:p>
        </w:tc>
        <w:tc>
          <w:tcPr>
            <w:tcW w:w="1200" w:type="dxa"/>
            <w:vAlign w:val="center"/>
          </w:tcPr>
          <w:p w14:paraId="00E2E5C0">
            <w:pPr>
              <w:jc w:val="center"/>
              <w:rPr>
                <w:rFonts w:eastAsiaTheme="minorEastAsia"/>
                <w:sz w:val="24"/>
              </w:rPr>
            </w:pPr>
            <w:r>
              <w:rPr>
                <w:rFonts w:hint="eastAsia" w:eastAsiaTheme="minorEastAsia"/>
                <w:sz w:val="24"/>
              </w:rPr>
              <w:t>未有反馈</w:t>
            </w:r>
          </w:p>
        </w:tc>
        <w:tc>
          <w:tcPr>
            <w:tcW w:w="1065" w:type="dxa"/>
            <w:vAlign w:val="center"/>
          </w:tcPr>
          <w:p w14:paraId="22C25031">
            <w:pPr>
              <w:jc w:val="center"/>
              <w:rPr>
                <w:rFonts w:eastAsiaTheme="minorEastAsia"/>
                <w:sz w:val="24"/>
              </w:rPr>
            </w:pPr>
            <w:r>
              <w:rPr>
                <w:rFonts w:hint="eastAsia" w:eastAsiaTheme="minorEastAsia"/>
                <w:sz w:val="24"/>
              </w:rPr>
              <w:t>90</w:t>
            </w:r>
          </w:p>
        </w:tc>
        <w:tc>
          <w:tcPr>
            <w:tcW w:w="1245" w:type="dxa"/>
            <w:vAlign w:val="center"/>
          </w:tcPr>
          <w:p w14:paraId="2BC07B23">
            <w:pPr>
              <w:jc w:val="center"/>
              <w:rPr>
                <w:rFonts w:eastAsiaTheme="minorEastAsia"/>
                <w:sz w:val="24"/>
              </w:rPr>
            </w:pPr>
            <w:r>
              <w:rPr>
                <w:rFonts w:hint="eastAsia" w:eastAsiaTheme="minorEastAsia"/>
                <w:sz w:val="24"/>
              </w:rPr>
              <w:t>市市场监管局</w:t>
            </w:r>
          </w:p>
        </w:tc>
        <w:tc>
          <w:tcPr>
            <w:tcW w:w="1320" w:type="dxa"/>
            <w:vAlign w:val="center"/>
          </w:tcPr>
          <w:p w14:paraId="5BF10A0B">
            <w:pPr>
              <w:jc w:val="center"/>
              <w:rPr>
                <w:rFonts w:eastAsiaTheme="minorEastAsia"/>
                <w:sz w:val="24"/>
              </w:rPr>
            </w:pPr>
            <w:r>
              <w:rPr>
                <w:rFonts w:hint="eastAsia" w:eastAsiaTheme="minorEastAsia"/>
                <w:sz w:val="24"/>
              </w:rPr>
              <w:t>预期性</w:t>
            </w:r>
          </w:p>
        </w:tc>
      </w:tr>
      <w:tr w14:paraId="09B4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5307EA2">
            <w:pPr>
              <w:jc w:val="center"/>
              <w:rPr>
                <w:rFonts w:eastAsiaTheme="minorEastAsia"/>
                <w:sz w:val="24"/>
              </w:rPr>
            </w:pPr>
          </w:p>
        </w:tc>
        <w:tc>
          <w:tcPr>
            <w:tcW w:w="3450" w:type="dxa"/>
            <w:vAlign w:val="center"/>
          </w:tcPr>
          <w:p w14:paraId="43B89426">
            <w:pPr>
              <w:jc w:val="center"/>
              <w:rPr>
                <w:rFonts w:eastAsiaTheme="minorEastAsia"/>
                <w:sz w:val="24"/>
              </w:rPr>
            </w:pPr>
            <w:r>
              <w:rPr>
                <w:rFonts w:hint="eastAsia" w:eastAsiaTheme="minorEastAsia"/>
                <w:sz w:val="24"/>
              </w:rPr>
              <w:t>规上工业全员劳动生产率</w:t>
            </w:r>
          </w:p>
        </w:tc>
        <w:tc>
          <w:tcPr>
            <w:tcW w:w="885" w:type="dxa"/>
            <w:vAlign w:val="center"/>
          </w:tcPr>
          <w:p w14:paraId="7B504399">
            <w:pPr>
              <w:jc w:val="center"/>
              <w:rPr>
                <w:rFonts w:eastAsiaTheme="minorEastAsia"/>
                <w:sz w:val="24"/>
              </w:rPr>
            </w:pPr>
            <w:r>
              <w:rPr>
                <w:rFonts w:hint="eastAsia" w:eastAsiaTheme="minorEastAsia"/>
                <w:sz w:val="24"/>
              </w:rPr>
              <w:t>万元/人</w:t>
            </w:r>
          </w:p>
        </w:tc>
        <w:tc>
          <w:tcPr>
            <w:tcW w:w="1200" w:type="dxa"/>
            <w:vAlign w:val="center"/>
          </w:tcPr>
          <w:p w14:paraId="14FD5A7D">
            <w:pPr>
              <w:jc w:val="center"/>
              <w:rPr>
                <w:rFonts w:eastAsiaTheme="minorEastAsia"/>
                <w:sz w:val="24"/>
              </w:rPr>
            </w:pPr>
            <w:r>
              <w:rPr>
                <w:rFonts w:hint="eastAsia" w:eastAsiaTheme="minorEastAsia"/>
                <w:sz w:val="24"/>
              </w:rPr>
              <w:t>18.1</w:t>
            </w:r>
          </w:p>
        </w:tc>
        <w:tc>
          <w:tcPr>
            <w:tcW w:w="1065" w:type="dxa"/>
            <w:vAlign w:val="center"/>
          </w:tcPr>
          <w:p w14:paraId="295A2414">
            <w:pPr>
              <w:jc w:val="center"/>
              <w:rPr>
                <w:rFonts w:eastAsiaTheme="minorEastAsia"/>
                <w:sz w:val="24"/>
              </w:rPr>
            </w:pPr>
            <w:r>
              <w:rPr>
                <w:rFonts w:eastAsiaTheme="minorEastAsia"/>
                <w:sz w:val="24"/>
              </w:rPr>
              <w:t>19</w:t>
            </w:r>
          </w:p>
        </w:tc>
        <w:tc>
          <w:tcPr>
            <w:tcW w:w="1245" w:type="dxa"/>
            <w:vAlign w:val="center"/>
          </w:tcPr>
          <w:p w14:paraId="528BDBE0">
            <w:pPr>
              <w:jc w:val="center"/>
              <w:rPr>
                <w:rFonts w:eastAsiaTheme="minorEastAsia"/>
                <w:sz w:val="24"/>
              </w:rPr>
            </w:pPr>
            <w:r>
              <w:rPr>
                <w:rFonts w:hint="eastAsia" w:eastAsiaTheme="minorEastAsia"/>
                <w:sz w:val="24"/>
              </w:rPr>
              <w:t>市科工商务局</w:t>
            </w:r>
          </w:p>
        </w:tc>
        <w:tc>
          <w:tcPr>
            <w:tcW w:w="1320" w:type="dxa"/>
            <w:vAlign w:val="center"/>
          </w:tcPr>
          <w:p w14:paraId="6945297C">
            <w:pPr>
              <w:jc w:val="center"/>
              <w:rPr>
                <w:rFonts w:eastAsiaTheme="minorEastAsia"/>
                <w:sz w:val="24"/>
              </w:rPr>
            </w:pPr>
            <w:r>
              <w:rPr>
                <w:rFonts w:hint="eastAsia" w:eastAsiaTheme="minorEastAsia"/>
                <w:sz w:val="24"/>
              </w:rPr>
              <w:t>预期性</w:t>
            </w:r>
          </w:p>
        </w:tc>
      </w:tr>
      <w:tr w14:paraId="3E19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6C7DB4F">
            <w:pPr>
              <w:jc w:val="center"/>
              <w:rPr>
                <w:rFonts w:eastAsiaTheme="minorEastAsia"/>
                <w:sz w:val="24"/>
              </w:rPr>
            </w:pPr>
            <w:r>
              <w:rPr>
                <w:rFonts w:hint="eastAsia" w:eastAsiaTheme="minorEastAsia"/>
                <w:sz w:val="24"/>
              </w:rPr>
              <w:t>融合</w:t>
            </w:r>
          </w:p>
          <w:p w14:paraId="08E4C927">
            <w:pPr>
              <w:jc w:val="center"/>
              <w:rPr>
                <w:rFonts w:eastAsiaTheme="minorEastAsia"/>
                <w:sz w:val="24"/>
              </w:rPr>
            </w:pPr>
            <w:r>
              <w:rPr>
                <w:rFonts w:hint="eastAsia" w:eastAsiaTheme="minorEastAsia"/>
                <w:sz w:val="24"/>
              </w:rPr>
              <w:t>发展</w:t>
            </w:r>
          </w:p>
        </w:tc>
        <w:tc>
          <w:tcPr>
            <w:tcW w:w="3450" w:type="dxa"/>
            <w:vAlign w:val="center"/>
          </w:tcPr>
          <w:p w14:paraId="135FAC99">
            <w:pPr>
              <w:jc w:val="center"/>
              <w:rPr>
                <w:rFonts w:eastAsiaTheme="minorEastAsia"/>
                <w:sz w:val="24"/>
              </w:rPr>
            </w:pPr>
            <w:r>
              <w:rPr>
                <w:rFonts w:hint="eastAsia" w:eastAsiaTheme="minorEastAsia"/>
                <w:sz w:val="24"/>
              </w:rPr>
              <w:t>应用工业互联网实施数字化</w:t>
            </w:r>
          </w:p>
          <w:p w14:paraId="60DF7EC8">
            <w:pPr>
              <w:jc w:val="center"/>
              <w:rPr>
                <w:rFonts w:eastAsiaTheme="minorEastAsia"/>
                <w:sz w:val="24"/>
              </w:rPr>
            </w:pPr>
            <w:r>
              <w:rPr>
                <w:rFonts w:hint="eastAsia" w:eastAsiaTheme="minorEastAsia"/>
                <w:sz w:val="24"/>
              </w:rPr>
              <w:t>转型的规模以上工业企业</w:t>
            </w:r>
          </w:p>
        </w:tc>
        <w:tc>
          <w:tcPr>
            <w:tcW w:w="885" w:type="dxa"/>
            <w:vAlign w:val="center"/>
          </w:tcPr>
          <w:p w14:paraId="78FA133B">
            <w:pPr>
              <w:jc w:val="center"/>
              <w:rPr>
                <w:rFonts w:eastAsiaTheme="minorEastAsia"/>
                <w:sz w:val="24"/>
              </w:rPr>
            </w:pPr>
            <w:r>
              <w:rPr>
                <w:rFonts w:hint="eastAsia" w:eastAsiaTheme="minorEastAsia"/>
                <w:sz w:val="24"/>
              </w:rPr>
              <w:t>家</w:t>
            </w:r>
          </w:p>
        </w:tc>
        <w:tc>
          <w:tcPr>
            <w:tcW w:w="1200" w:type="dxa"/>
            <w:vAlign w:val="center"/>
          </w:tcPr>
          <w:p w14:paraId="7ADBF05C">
            <w:pPr>
              <w:jc w:val="center"/>
              <w:rPr>
                <w:rFonts w:eastAsiaTheme="minorEastAsia"/>
                <w:sz w:val="24"/>
              </w:rPr>
            </w:pPr>
            <w:r>
              <w:rPr>
                <w:rFonts w:eastAsiaTheme="minorEastAsia"/>
                <w:sz w:val="24"/>
              </w:rPr>
              <w:t>12</w:t>
            </w:r>
          </w:p>
        </w:tc>
        <w:tc>
          <w:tcPr>
            <w:tcW w:w="1065" w:type="dxa"/>
            <w:vAlign w:val="center"/>
          </w:tcPr>
          <w:p w14:paraId="14AE1E64">
            <w:pPr>
              <w:jc w:val="center"/>
              <w:rPr>
                <w:rFonts w:eastAsiaTheme="minorEastAsia"/>
                <w:sz w:val="24"/>
              </w:rPr>
            </w:pPr>
            <w:r>
              <w:rPr>
                <w:rFonts w:eastAsiaTheme="minorEastAsia"/>
                <w:sz w:val="24"/>
              </w:rPr>
              <w:t>36</w:t>
            </w:r>
          </w:p>
        </w:tc>
        <w:tc>
          <w:tcPr>
            <w:tcW w:w="1245" w:type="dxa"/>
            <w:vAlign w:val="center"/>
          </w:tcPr>
          <w:p w14:paraId="19656B4E">
            <w:pPr>
              <w:jc w:val="center"/>
              <w:rPr>
                <w:rFonts w:eastAsiaTheme="minorEastAsia"/>
                <w:sz w:val="24"/>
              </w:rPr>
            </w:pPr>
            <w:r>
              <w:rPr>
                <w:rFonts w:hint="eastAsia" w:eastAsiaTheme="minorEastAsia"/>
                <w:sz w:val="24"/>
              </w:rPr>
              <w:t>市科工商务局</w:t>
            </w:r>
          </w:p>
        </w:tc>
        <w:tc>
          <w:tcPr>
            <w:tcW w:w="1320" w:type="dxa"/>
            <w:vAlign w:val="center"/>
          </w:tcPr>
          <w:p w14:paraId="3BE2B170">
            <w:pPr>
              <w:jc w:val="center"/>
              <w:rPr>
                <w:rFonts w:eastAsiaTheme="minorEastAsia"/>
                <w:sz w:val="24"/>
              </w:rPr>
            </w:pPr>
            <w:r>
              <w:rPr>
                <w:rFonts w:hint="eastAsia" w:eastAsiaTheme="minorEastAsia"/>
                <w:sz w:val="24"/>
              </w:rPr>
              <w:t>预期性</w:t>
            </w:r>
          </w:p>
        </w:tc>
      </w:tr>
      <w:tr w14:paraId="087F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5023D9C">
            <w:pPr>
              <w:jc w:val="center"/>
              <w:rPr>
                <w:rFonts w:eastAsiaTheme="minorEastAsia"/>
                <w:sz w:val="24"/>
              </w:rPr>
            </w:pPr>
            <w:r>
              <w:rPr>
                <w:rFonts w:hint="eastAsia" w:eastAsiaTheme="minorEastAsia"/>
                <w:sz w:val="24"/>
              </w:rPr>
              <w:t>绿色</w:t>
            </w:r>
          </w:p>
          <w:p w14:paraId="34D0509F">
            <w:pPr>
              <w:jc w:val="center"/>
              <w:rPr>
                <w:rFonts w:eastAsiaTheme="minorEastAsia"/>
                <w:sz w:val="24"/>
              </w:rPr>
            </w:pPr>
            <w:r>
              <w:rPr>
                <w:rFonts w:hint="eastAsia" w:eastAsiaTheme="minorEastAsia"/>
                <w:sz w:val="24"/>
              </w:rPr>
              <w:t>发展</w:t>
            </w:r>
          </w:p>
        </w:tc>
        <w:tc>
          <w:tcPr>
            <w:tcW w:w="3450" w:type="dxa"/>
            <w:vAlign w:val="center"/>
          </w:tcPr>
          <w:p w14:paraId="3FD4731B">
            <w:pPr>
              <w:jc w:val="center"/>
              <w:rPr>
                <w:rFonts w:eastAsiaTheme="minorEastAsia"/>
                <w:sz w:val="24"/>
              </w:rPr>
            </w:pPr>
            <w:r>
              <w:rPr>
                <w:rFonts w:hint="eastAsia" w:eastAsiaTheme="minorEastAsia"/>
                <w:sz w:val="24"/>
              </w:rPr>
              <w:t>单位工业增加值能耗</w:t>
            </w:r>
          </w:p>
        </w:tc>
        <w:tc>
          <w:tcPr>
            <w:tcW w:w="885" w:type="dxa"/>
            <w:vAlign w:val="center"/>
          </w:tcPr>
          <w:p w14:paraId="14725942">
            <w:pPr>
              <w:jc w:val="center"/>
              <w:rPr>
                <w:rFonts w:eastAsiaTheme="minorEastAsia"/>
                <w:sz w:val="24"/>
              </w:rPr>
            </w:pPr>
            <w:r>
              <w:rPr>
                <w:rFonts w:hint="eastAsia" w:eastAsiaTheme="minorEastAsia"/>
                <w:sz w:val="24"/>
              </w:rPr>
              <w:t>-</w:t>
            </w:r>
          </w:p>
        </w:tc>
        <w:tc>
          <w:tcPr>
            <w:tcW w:w="2265" w:type="dxa"/>
            <w:gridSpan w:val="2"/>
            <w:vAlign w:val="center"/>
          </w:tcPr>
          <w:p w14:paraId="4FC24827">
            <w:pPr>
              <w:jc w:val="center"/>
              <w:rPr>
                <w:rFonts w:eastAsiaTheme="minorEastAsia"/>
                <w:sz w:val="24"/>
              </w:rPr>
            </w:pPr>
            <w:r>
              <w:rPr>
                <w:rFonts w:hint="eastAsia" w:eastAsiaTheme="minorEastAsia"/>
                <w:sz w:val="24"/>
              </w:rPr>
              <w:t>逐年下降</w:t>
            </w:r>
          </w:p>
        </w:tc>
        <w:tc>
          <w:tcPr>
            <w:tcW w:w="1245" w:type="dxa"/>
            <w:vAlign w:val="center"/>
          </w:tcPr>
          <w:p w14:paraId="47A8B918">
            <w:pPr>
              <w:jc w:val="center"/>
              <w:rPr>
                <w:rFonts w:eastAsiaTheme="minorEastAsia"/>
                <w:sz w:val="24"/>
              </w:rPr>
            </w:pPr>
            <w:r>
              <w:rPr>
                <w:rFonts w:hint="eastAsia" w:eastAsiaTheme="minorEastAsia"/>
                <w:sz w:val="24"/>
              </w:rPr>
              <w:t>市科工商务局</w:t>
            </w:r>
          </w:p>
        </w:tc>
        <w:tc>
          <w:tcPr>
            <w:tcW w:w="1320" w:type="dxa"/>
            <w:vAlign w:val="center"/>
          </w:tcPr>
          <w:p w14:paraId="4CD4FFDD">
            <w:pPr>
              <w:jc w:val="center"/>
              <w:rPr>
                <w:rFonts w:eastAsiaTheme="minorEastAsia"/>
                <w:sz w:val="24"/>
              </w:rPr>
            </w:pPr>
            <w:r>
              <w:rPr>
                <w:rFonts w:hint="eastAsia" w:eastAsiaTheme="minorEastAsia"/>
                <w:sz w:val="24"/>
              </w:rPr>
              <w:t>约束性</w:t>
            </w:r>
          </w:p>
        </w:tc>
      </w:tr>
      <w:tr w14:paraId="6D9E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45E0C5">
            <w:pPr>
              <w:jc w:val="center"/>
              <w:rPr>
                <w:rFonts w:eastAsiaTheme="minorEastAsia"/>
                <w:sz w:val="24"/>
              </w:rPr>
            </w:pPr>
            <w:r>
              <w:rPr>
                <w:rFonts w:hint="eastAsia" w:eastAsiaTheme="minorEastAsia"/>
                <w:sz w:val="24"/>
              </w:rPr>
              <w:t>开放</w:t>
            </w:r>
          </w:p>
          <w:p w14:paraId="187F45F5">
            <w:pPr>
              <w:jc w:val="center"/>
              <w:rPr>
                <w:rFonts w:eastAsiaTheme="minorEastAsia"/>
                <w:sz w:val="24"/>
              </w:rPr>
            </w:pPr>
            <w:r>
              <w:rPr>
                <w:rFonts w:hint="eastAsia" w:eastAsiaTheme="minorEastAsia"/>
                <w:sz w:val="24"/>
              </w:rPr>
              <w:t>合作</w:t>
            </w:r>
          </w:p>
        </w:tc>
        <w:tc>
          <w:tcPr>
            <w:tcW w:w="3450" w:type="dxa"/>
            <w:vAlign w:val="center"/>
          </w:tcPr>
          <w:p w14:paraId="379EE5DC">
            <w:pPr>
              <w:jc w:val="center"/>
              <w:rPr>
                <w:rFonts w:eastAsiaTheme="minorEastAsia"/>
                <w:sz w:val="24"/>
              </w:rPr>
            </w:pPr>
            <w:r>
              <w:rPr>
                <w:rFonts w:hint="eastAsia" w:eastAsiaTheme="minorEastAsia"/>
                <w:sz w:val="24"/>
              </w:rPr>
              <w:t>制造业实际使用外商直接投资额占全市实际使用外商直接</w:t>
            </w:r>
          </w:p>
          <w:p w14:paraId="4D096C8A">
            <w:pPr>
              <w:jc w:val="center"/>
              <w:rPr>
                <w:rFonts w:eastAsiaTheme="minorEastAsia"/>
                <w:sz w:val="24"/>
              </w:rPr>
            </w:pPr>
            <w:r>
              <w:rPr>
                <w:rFonts w:hint="eastAsia" w:eastAsiaTheme="minorEastAsia"/>
                <w:sz w:val="24"/>
              </w:rPr>
              <w:t>投资额的比重</w:t>
            </w:r>
          </w:p>
        </w:tc>
        <w:tc>
          <w:tcPr>
            <w:tcW w:w="885" w:type="dxa"/>
            <w:vAlign w:val="center"/>
          </w:tcPr>
          <w:p w14:paraId="27742B07">
            <w:pPr>
              <w:jc w:val="center"/>
              <w:rPr>
                <w:rFonts w:eastAsiaTheme="minorEastAsia"/>
                <w:sz w:val="24"/>
              </w:rPr>
            </w:pPr>
            <w:r>
              <w:rPr>
                <w:rFonts w:hint="eastAsia" w:eastAsiaTheme="minorEastAsia"/>
                <w:sz w:val="24"/>
              </w:rPr>
              <w:t>%</w:t>
            </w:r>
          </w:p>
        </w:tc>
        <w:tc>
          <w:tcPr>
            <w:tcW w:w="1200" w:type="dxa"/>
            <w:vAlign w:val="center"/>
          </w:tcPr>
          <w:p w14:paraId="57BF0EFF">
            <w:pPr>
              <w:jc w:val="center"/>
              <w:rPr>
                <w:rFonts w:eastAsiaTheme="minorEastAsia"/>
                <w:sz w:val="24"/>
              </w:rPr>
            </w:pPr>
            <w:r>
              <w:rPr>
                <w:rFonts w:hint="eastAsia" w:eastAsiaTheme="minorEastAsia"/>
                <w:sz w:val="24"/>
              </w:rPr>
              <w:t>14.9</w:t>
            </w:r>
          </w:p>
        </w:tc>
        <w:tc>
          <w:tcPr>
            <w:tcW w:w="1065" w:type="dxa"/>
            <w:vAlign w:val="center"/>
          </w:tcPr>
          <w:p w14:paraId="1CF4D843">
            <w:pPr>
              <w:jc w:val="center"/>
              <w:rPr>
                <w:rFonts w:eastAsiaTheme="minorEastAsia"/>
                <w:sz w:val="24"/>
              </w:rPr>
            </w:pPr>
            <w:r>
              <w:rPr>
                <w:rFonts w:hint="eastAsia" w:eastAsiaTheme="minorEastAsia"/>
                <w:sz w:val="24"/>
              </w:rPr>
              <w:t>20</w:t>
            </w:r>
          </w:p>
        </w:tc>
        <w:tc>
          <w:tcPr>
            <w:tcW w:w="1245" w:type="dxa"/>
            <w:vAlign w:val="center"/>
          </w:tcPr>
          <w:p w14:paraId="3C4F7713">
            <w:pPr>
              <w:jc w:val="center"/>
              <w:rPr>
                <w:rFonts w:eastAsiaTheme="minorEastAsia"/>
                <w:sz w:val="24"/>
              </w:rPr>
            </w:pPr>
            <w:r>
              <w:rPr>
                <w:rFonts w:hint="eastAsia" w:eastAsiaTheme="minorEastAsia"/>
                <w:sz w:val="24"/>
              </w:rPr>
              <w:t>市科工商务局</w:t>
            </w:r>
          </w:p>
        </w:tc>
        <w:tc>
          <w:tcPr>
            <w:tcW w:w="1320" w:type="dxa"/>
            <w:vAlign w:val="center"/>
          </w:tcPr>
          <w:p w14:paraId="25A02798">
            <w:pPr>
              <w:jc w:val="center"/>
              <w:rPr>
                <w:rFonts w:eastAsiaTheme="minorEastAsia"/>
                <w:sz w:val="24"/>
              </w:rPr>
            </w:pPr>
            <w:r>
              <w:rPr>
                <w:rFonts w:hint="eastAsia" w:eastAsiaTheme="minorEastAsia"/>
                <w:sz w:val="24"/>
              </w:rPr>
              <w:t>预期性</w:t>
            </w:r>
          </w:p>
        </w:tc>
      </w:tr>
    </w:tbl>
    <w:p w14:paraId="0C1B1AA9">
      <w:pPr>
        <w:spacing w:line="560" w:lineRule="exact"/>
        <w:ind w:firstLine="640" w:firstLineChars="200"/>
        <w:outlineLvl w:val="0"/>
        <w:rPr>
          <w:rFonts w:ascii="Times New Roman" w:hAnsi="Times New Roman" w:eastAsia="黑体" w:cs="Times New Roman"/>
          <w:sz w:val="32"/>
          <w:szCs w:val="40"/>
        </w:rPr>
      </w:pPr>
    </w:p>
    <w:p w14:paraId="1E96AFBF">
      <w:pPr>
        <w:pStyle w:val="2"/>
        <w:spacing w:before="0" w:after="0" w:line="560" w:lineRule="exact"/>
        <w:ind w:firstLine="643" w:firstLineChars="200"/>
        <w:rPr>
          <w:rFonts w:ascii="Times New Roman" w:hAnsi="Times New Roman" w:eastAsia="黑体" w:cs="Times New Roman"/>
          <w:sz w:val="32"/>
        </w:rPr>
      </w:pPr>
      <w:bookmarkStart w:id="61" w:name="_Toc167288470"/>
      <w:r>
        <w:rPr>
          <w:rFonts w:ascii="Times New Roman" w:hAnsi="Times New Roman" w:eastAsia="黑体" w:cs="Times New Roman"/>
          <w:sz w:val="32"/>
        </w:rPr>
        <w:t>四、重点发展路径</w:t>
      </w:r>
      <w:bookmarkEnd w:id="56"/>
      <w:bookmarkEnd w:id="57"/>
      <w:bookmarkEnd w:id="58"/>
      <w:bookmarkEnd w:id="61"/>
    </w:p>
    <w:p w14:paraId="4E597C44">
      <w:pPr>
        <w:spacing w:line="560" w:lineRule="exact"/>
        <w:ind w:firstLine="640" w:firstLineChars="200"/>
        <w:rPr>
          <w:rFonts w:ascii="Times New Roman" w:hAnsi="Times New Roman" w:eastAsia="楷体_GB2312" w:cs="Times New Roman"/>
          <w:b/>
          <w:bCs/>
          <w:sz w:val="32"/>
          <w:szCs w:val="40"/>
        </w:rPr>
      </w:pPr>
      <w:bookmarkStart w:id="62" w:name="_Toc3031"/>
      <w:bookmarkStart w:id="63" w:name="_Toc29295"/>
      <w:r>
        <w:rPr>
          <w:rFonts w:ascii="Times New Roman" w:hAnsi="Times New Roman" w:eastAsia="仿宋_GB2312" w:cs="Times New Roman"/>
          <w:sz w:val="32"/>
          <w:szCs w:val="40"/>
        </w:rPr>
        <w:t>以恩平工业园、产业集聚区为载体，围绕6个重点制造业产业集群，培育制造业产业集群成长梯队，</w:t>
      </w:r>
      <w:r>
        <w:rPr>
          <w:rFonts w:ascii="Times New Roman" w:hAnsi="Times New Roman" w:eastAsia="仿宋" w:cs="Times New Roman"/>
          <w:sz w:val="32"/>
          <w:szCs w:val="32"/>
        </w:rPr>
        <w:t>引进培育产业龙头项目，构建完整产业链和供应链，加快向价值链高端延伸，着力</w:t>
      </w:r>
      <w:r>
        <w:rPr>
          <w:rFonts w:ascii="Times New Roman" w:hAnsi="Times New Roman" w:eastAsia="仿宋_GB2312" w:cs="Times New Roman"/>
          <w:sz w:val="32"/>
          <w:szCs w:val="40"/>
        </w:rPr>
        <w:t>推进</w:t>
      </w:r>
      <w:r>
        <w:rPr>
          <w:rFonts w:hint="eastAsia" w:ascii="Times New Roman" w:hAnsi="Times New Roman" w:eastAsia="仿宋_GB2312" w:cs="Times New Roman"/>
          <w:sz w:val="32"/>
          <w:szCs w:val="40"/>
        </w:rPr>
        <w:t>高端</w:t>
      </w:r>
      <w:r>
        <w:rPr>
          <w:rFonts w:ascii="Times New Roman" w:hAnsi="Times New Roman" w:eastAsia="仿宋_GB2312" w:cs="Times New Roman"/>
          <w:sz w:val="32"/>
          <w:szCs w:val="40"/>
        </w:rPr>
        <w:t>装备制造、新一代电子信息、</w:t>
      </w:r>
      <w:r>
        <w:rPr>
          <w:rFonts w:hint="eastAsia" w:ascii="Times New Roman" w:hAnsi="Times New Roman" w:eastAsia="仿宋_GB2312" w:cs="Times New Roman"/>
          <w:sz w:val="32"/>
          <w:szCs w:val="40"/>
        </w:rPr>
        <w:t>现代农业与食品</w:t>
      </w:r>
      <w:r>
        <w:rPr>
          <w:rFonts w:ascii="Times New Roman" w:hAnsi="Times New Roman" w:eastAsia="仿宋_GB2312" w:cs="Times New Roman"/>
          <w:sz w:val="32"/>
          <w:szCs w:val="40"/>
        </w:rPr>
        <w:t>和</w:t>
      </w:r>
      <w:r>
        <w:rPr>
          <w:rFonts w:hint="eastAsia" w:ascii="Times New Roman" w:hAnsi="Times New Roman" w:eastAsia="仿宋_GB2312" w:cs="Times New Roman"/>
          <w:sz w:val="32"/>
          <w:szCs w:val="40"/>
        </w:rPr>
        <w:t>先进</w:t>
      </w:r>
      <w:r>
        <w:rPr>
          <w:rFonts w:ascii="Times New Roman" w:hAnsi="Times New Roman" w:eastAsia="仿宋_GB2312" w:cs="Times New Roman"/>
          <w:sz w:val="32"/>
          <w:szCs w:val="40"/>
        </w:rPr>
        <w:t>材料四大</w:t>
      </w:r>
      <w:r>
        <w:rPr>
          <w:rFonts w:hint="eastAsia" w:ascii="Times New Roman" w:hAnsi="Times New Roman" w:eastAsia="仿宋_GB2312" w:cs="Times New Roman"/>
          <w:sz w:val="32"/>
          <w:szCs w:val="40"/>
        </w:rPr>
        <w:t>战略性</w:t>
      </w:r>
      <w:r>
        <w:rPr>
          <w:rFonts w:ascii="Times New Roman" w:hAnsi="Times New Roman" w:eastAsia="仿宋_GB2312" w:cs="Times New Roman"/>
          <w:sz w:val="32"/>
          <w:szCs w:val="40"/>
        </w:rPr>
        <w:t>产业集群建设，分阶段实现</w:t>
      </w:r>
      <w:r>
        <w:rPr>
          <w:rFonts w:hint="eastAsia" w:ascii="Times New Roman" w:hAnsi="Times New Roman" w:eastAsia="仿宋_GB2312" w:cs="Times New Roman"/>
          <w:sz w:val="32"/>
          <w:szCs w:val="40"/>
        </w:rPr>
        <w:t>100</w:t>
      </w:r>
      <w:r>
        <w:rPr>
          <w:rFonts w:ascii="Times New Roman" w:hAnsi="Times New Roman" w:eastAsia="仿宋_GB2312" w:cs="Times New Roman"/>
          <w:sz w:val="32"/>
          <w:szCs w:val="40"/>
        </w:rPr>
        <w:t>亿级产业集群目标。找准传统产业转化为新优势的突破口，加快陶瓷、纺织服装等传统优势产业集群培优扶强步伐，打造多个</w:t>
      </w:r>
      <w:r>
        <w:rPr>
          <w:rFonts w:hint="eastAsia" w:ascii="Times New Roman" w:hAnsi="Times New Roman" w:eastAsia="仿宋_GB2312" w:cs="Times New Roman"/>
          <w:sz w:val="32"/>
          <w:szCs w:val="40"/>
        </w:rPr>
        <w:t>发展规模大、产业链齐全</w:t>
      </w:r>
      <w:r>
        <w:rPr>
          <w:rFonts w:ascii="Times New Roman" w:hAnsi="Times New Roman" w:eastAsia="仿宋_GB2312" w:cs="Times New Roman"/>
          <w:sz w:val="32"/>
          <w:szCs w:val="40"/>
        </w:rPr>
        <w:t>的产业集群，形成梯度发展、落位有序的产业发展格局，全力参与江门市</w:t>
      </w:r>
      <w:r>
        <w:rPr>
          <w:rFonts w:hint="eastAsia" w:ascii="Times New Roman" w:hAnsi="Times New Roman" w:eastAsia="仿宋_GB2312" w:cs="Times New Roman"/>
          <w:sz w:val="32"/>
          <w:szCs w:val="40"/>
        </w:rPr>
        <w:t>15个战略性</w:t>
      </w:r>
      <w:r>
        <w:rPr>
          <w:rFonts w:ascii="Times New Roman" w:hAnsi="Times New Roman" w:eastAsia="仿宋_GB2312" w:cs="Times New Roman"/>
          <w:sz w:val="32"/>
          <w:szCs w:val="40"/>
        </w:rPr>
        <w:t>产业集群建设。</w:t>
      </w:r>
    </w:p>
    <w:p w14:paraId="5971A87D">
      <w:pPr>
        <w:spacing w:line="560" w:lineRule="exact"/>
        <w:ind w:firstLine="643" w:firstLineChars="200"/>
        <w:outlineLvl w:val="1"/>
        <w:rPr>
          <w:rFonts w:ascii="Times New Roman" w:hAnsi="Times New Roman" w:eastAsia="楷体_GB2312" w:cs="Times New Roman"/>
          <w:b/>
          <w:bCs/>
          <w:sz w:val="32"/>
          <w:szCs w:val="40"/>
        </w:rPr>
      </w:pPr>
      <w:bookmarkStart w:id="64" w:name="_Toc167288471"/>
      <w:bookmarkStart w:id="65" w:name="_Toc51589563"/>
      <w:r>
        <w:rPr>
          <w:rFonts w:ascii="Times New Roman" w:hAnsi="Times New Roman" w:eastAsia="楷体_GB2312" w:cs="Times New Roman"/>
          <w:b/>
          <w:bCs/>
          <w:sz w:val="32"/>
          <w:szCs w:val="40"/>
        </w:rPr>
        <w:t>（一）培育发展四个</w:t>
      </w:r>
      <w:r>
        <w:rPr>
          <w:rFonts w:hint="eastAsia" w:ascii="Times New Roman" w:hAnsi="Times New Roman" w:eastAsia="楷体_GB2312" w:cs="Times New Roman"/>
          <w:b/>
          <w:bCs/>
          <w:sz w:val="32"/>
          <w:szCs w:val="40"/>
        </w:rPr>
        <w:t>战略性</w:t>
      </w:r>
      <w:r>
        <w:rPr>
          <w:rFonts w:ascii="Times New Roman" w:hAnsi="Times New Roman" w:eastAsia="楷体_GB2312" w:cs="Times New Roman"/>
          <w:b/>
          <w:bCs/>
          <w:sz w:val="32"/>
          <w:szCs w:val="40"/>
        </w:rPr>
        <w:t>产业集群</w:t>
      </w:r>
      <w:bookmarkEnd w:id="62"/>
      <w:bookmarkEnd w:id="63"/>
      <w:bookmarkEnd w:id="64"/>
      <w:bookmarkEnd w:id="65"/>
    </w:p>
    <w:p w14:paraId="2BD2C79D">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1</w:t>
      </w:r>
      <w:r>
        <w:rPr>
          <w:rFonts w:hint="eastAsia" w:ascii="Times New Roman" w:hAnsi="Times New Roman" w:eastAsia="仿宋_GB2312" w:cs="Times New Roman"/>
          <w:b/>
          <w:sz w:val="32"/>
          <w:szCs w:val="40"/>
        </w:rPr>
        <w:t>、高端</w:t>
      </w:r>
      <w:r>
        <w:rPr>
          <w:rFonts w:ascii="Times New Roman" w:hAnsi="Times New Roman" w:eastAsia="仿宋_GB2312" w:cs="Times New Roman"/>
          <w:b/>
          <w:sz w:val="32"/>
          <w:szCs w:val="40"/>
        </w:rPr>
        <w:t>装备制造</w:t>
      </w:r>
    </w:p>
    <w:p w14:paraId="1FC45201">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坚持高端化、智能化、绿色化、服务化方向，依托机械装备发展基础，以数控设备、包装机械装备和输配电与节能环保装备为培育重点，</w:t>
      </w:r>
      <w:r>
        <w:rPr>
          <w:rFonts w:hint="eastAsia" w:ascii="Times New Roman" w:hAnsi="Times New Roman" w:eastAsia="仿宋_GB2312" w:cs="Times New Roman"/>
          <w:bCs/>
          <w:sz w:val="32"/>
          <w:szCs w:val="32"/>
        </w:rPr>
        <w:t>推动机械装备制造行业向高端数控精密加工装备产业转型升级，</w:t>
      </w:r>
      <w:r>
        <w:rPr>
          <w:rFonts w:ascii="Times New Roman" w:hAnsi="Times New Roman" w:eastAsia="仿宋_GB2312" w:cs="Times New Roman"/>
          <w:sz w:val="32"/>
          <w:szCs w:val="40"/>
        </w:rPr>
        <w:t>加快壮大</w:t>
      </w:r>
      <w:r>
        <w:rPr>
          <w:rFonts w:hint="eastAsia" w:ascii="Times New Roman" w:hAnsi="Times New Roman" w:eastAsia="仿宋_GB2312" w:cs="Times New Roman"/>
          <w:sz w:val="32"/>
          <w:szCs w:val="40"/>
        </w:rPr>
        <w:t>高端</w:t>
      </w:r>
      <w:r>
        <w:rPr>
          <w:rFonts w:ascii="Times New Roman" w:hAnsi="Times New Roman" w:eastAsia="仿宋_GB2312" w:cs="Times New Roman"/>
          <w:sz w:val="32"/>
          <w:szCs w:val="40"/>
        </w:rPr>
        <w:t>装备制造</w:t>
      </w:r>
      <w:r>
        <w:rPr>
          <w:rFonts w:hint="eastAsia" w:ascii="Times New Roman" w:hAnsi="Times New Roman" w:eastAsia="仿宋_GB2312" w:cs="Times New Roman"/>
          <w:sz w:val="32"/>
          <w:szCs w:val="40"/>
        </w:rPr>
        <w:t>产</w:t>
      </w:r>
      <w:r>
        <w:rPr>
          <w:rFonts w:ascii="Times New Roman" w:hAnsi="Times New Roman" w:eastAsia="仿宋_GB2312" w:cs="Times New Roman"/>
          <w:sz w:val="32"/>
          <w:szCs w:val="40"/>
        </w:rPr>
        <w:t>业规模，扎实推动珠西先进装备制造产业带建设，打造</w:t>
      </w:r>
      <w:r>
        <w:rPr>
          <w:rFonts w:hint="eastAsia" w:ascii="Times New Roman" w:hAnsi="Times New Roman" w:eastAsia="仿宋_GB2312" w:cs="Times New Roman"/>
          <w:sz w:val="32"/>
          <w:szCs w:val="40"/>
        </w:rPr>
        <w:t>智能装备特色产业园</w:t>
      </w:r>
      <w:r>
        <w:rPr>
          <w:rFonts w:ascii="Times New Roman" w:hAnsi="Times New Roman" w:eastAsia="仿宋_GB2312" w:cs="Times New Roman"/>
          <w:sz w:val="32"/>
          <w:szCs w:val="40"/>
        </w:rPr>
        <w:t>。</w:t>
      </w:r>
    </w:p>
    <w:p w14:paraId="750DE4C8">
      <w:pPr>
        <w:spacing w:line="560" w:lineRule="exact"/>
        <w:ind w:firstLine="643" w:firstLineChars="200"/>
        <w:rPr>
          <w:rFonts w:ascii="Times New Roman" w:hAnsi="Times New Roman" w:eastAsia="仿宋_GB2312" w:cs="Times New Roman"/>
          <w:sz w:val="32"/>
          <w:szCs w:val="40"/>
        </w:rPr>
      </w:pPr>
      <w:r>
        <w:rPr>
          <w:rFonts w:hint="eastAsia" w:ascii="Times New Roman" w:hAnsi="Times New Roman" w:eastAsia="仿宋_GB2312" w:cs="Times New Roman"/>
          <w:b/>
          <w:bCs/>
          <w:sz w:val="32"/>
          <w:szCs w:val="32"/>
        </w:rPr>
        <w:t>数控设备</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以恩平工业园及大槐集聚区为重点区域，打造高端数控精密加工装备</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40"/>
        </w:rPr>
        <w:t>智能装备特色产业园区</w:t>
      </w:r>
      <w:r>
        <w:rPr>
          <w:rFonts w:ascii="Times New Roman" w:hAnsi="Times New Roman" w:eastAsia="仿宋_GB2312" w:cs="Times New Roman"/>
          <w:sz w:val="32"/>
          <w:szCs w:val="40"/>
        </w:rPr>
        <w:t>。</w:t>
      </w:r>
      <w:r>
        <w:rPr>
          <w:rFonts w:ascii="Times New Roman" w:hAnsi="Times New Roman" w:eastAsia="仿宋_GB2312" w:cs="Times New Roman"/>
          <w:sz w:val="32"/>
          <w:szCs w:val="32"/>
        </w:rPr>
        <w:t>依托艾普升、百赞智能、华南重工、欧丽仕、绮力、锦昊智能科技和</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一智能</w:t>
      </w:r>
      <w:r>
        <w:rPr>
          <w:rFonts w:hint="eastAsia" w:ascii="Times New Roman" w:hAnsi="Times New Roman" w:eastAsia="仿宋_GB2312" w:cs="Times New Roman"/>
          <w:sz w:val="32"/>
          <w:szCs w:val="32"/>
        </w:rPr>
        <w:t>装备</w:t>
      </w:r>
      <w:r>
        <w:rPr>
          <w:rFonts w:ascii="Times New Roman" w:hAnsi="Times New Roman" w:eastAsia="仿宋_GB2312" w:cs="Times New Roman"/>
          <w:sz w:val="32"/>
          <w:szCs w:val="32"/>
        </w:rPr>
        <w:t>等龙头项目，培育发展制造领域智能化及关键零部件成套加工装备、中高档数控系统等工作母机装备和系统。依托博泰智能、兴华传动科技等企业，着力提升铝基螺杆滑台、铝基皮带滑台模组和钢制直线模组及精密直线导轨、精密直线滑块等关键零配件本地化配套水平。以升泰昌</w:t>
      </w:r>
      <w:r>
        <w:rPr>
          <w:rFonts w:ascii="Times New Roman" w:hAnsi="Times New Roman" w:eastAsia="Dotum" w:cs="Times New Roman"/>
          <w:sz w:val="32"/>
          <w:szCs w:val="32"/>
        </w:rPr>
        <w:t>·</w:t>
      </w:r>
      <w:r>
        <w:rPr>
          <w:rFonts w:hint="eastAsia" w:ascii="Times New Roman" w:hAnsi="Times New Roman" w:eastAsia="仿宋_GB2312" w:cs="Times New Roman"/>
          <w:sz w:val="32"/>
          <w:szCs w:val="32"/>
        </w:rPr>
        <w:t>恩平</w:t>
      </w:r>
      <w:r>
        <w:rPr>
          <w:rFonts w:ascii="Times New Roman" w:hAnsi="Times New Roman" w:eastAsia="仿宋_GB2312" w:cs="Times New Roman"/>
          <w:sz w:val="32"/>
          <w:szCs w:val="32"/>
        </w:rPr>
        <w:t>智造加速器、金磐志、台立</w:t>
      </w:r>
      <w:r>
        <w:rPr>
          <w:rFonts w:hint="eastAsia" w:ascii="Times New Roman" w:hAnsi="Times New Roman" w:eastAsia="仿宋_GB2312" w:cs="Times New Roman"/>
          <w:sz w:val="32"/>
          <w:szCs w:val="32"/>
        </w:rPr>
        <w:t>、科志达</w:t>
      </w:r>
      <w:r>
        <w:rPr>
          <w:rFonts w:ascii="Times New Roman" w:hAnsi="Times New Roman" w:eastAsia="仿宋_GB2312" w:cs="Times New Roman"/>
          <w:sz w:val="32"/>
          <w:szCs w:val="32"/>
        </w:rPr>
        <w:t>智能、</w:t>
      </w:r>
      <w:r>
        <w:rPr>
          <w:rFonts w:hint="eastAsia" w:ascii="Times New Roman" w:hAnsi="Times New Roman" w:eastAsia="仿宋_GB2312" w:cs="Times New Roman"/>
          <w:sz w:val="32"/>
          <w:szCs w:val="32"/>
        </w:rPr>
        <w:t>西尔普数控设备</w:t>
      </w:r>
      <w:r>
        <w:rPr>
          <w:rFonts w:ascii="Times New Roman" w:hAnsi="Times New Roman" w:eastAsia="仿宋_GB2312" w:cs="Times New Roman"/>
          <w:sz w:val="32"/>
          <w:szCs w:val="32"/>
        </w:rPr>
        <w:t>等项目引进为契机，重点发展高精度、高可靠性数控加工中心、智能机械人、智能家居控制系统、装配等工业机器人。以金普仕、欧丽仕、松普电机、鑫龙电机等企业项目，推动发展</w:t>
      </w:r>
      <w:r>
        <w:rPr>
          <w:rFonts w:ascii="Times New Roman" w:hAnsi="Times New Roman" w:eastAsia="仿宋_GB2312" w:cs="Times New Roman"/>
          <w:bCs/>
          <w:sz w:val="32"/>
          <w:szCs w:val="32"/>
        </w:rPr>
        <w:t>工业自动化测控仪器与系统、微型智能电机、微型智能传感器、智能化仪器仪表等。</w:t>
      </w:r>
    </w:p>
    <w:p w14:paraId="007E3355">
      <w:pPr>
        <w:spacing w:line="560" w:lineRule="exact"/>
        <w:ind w:firstLine="643" w:firstLineChars="200"/>
        <w:rPr>
          <w:rFonts w:ascii="Times New Roman" w:hAnsi="Times New Roman" w:cs="Times New Roman"/>
          <w:sz w:val="24"/>
        </w:rPr>
      </w:pPr>
      <w:r>
        <w:rPr>
          <w:rFonts w:ascii="Times New Roman" w:hAnsi="Times New Roman" w:eastAsia="仿宋_GB2312" w:cs="Times New Roman"/>
          <w:b/>
          <w:bCs/>
          <w:sz w:val="32"/>
          <w:szCs w:val="32"/>
        </w:rPr>
        <w:t>包装机械装备。</w:t>
      </w:r>
      <w:r>
        <w:rPr>
          <w:rFonts w:ascii="Times New Roman" w:hAnsi="Times New Roman" w:eastAsia="仿宋_GB2312" w:cs="Times New Roman"/>
          <w:sz w:val="32"/>
          <w:szCs w:val="32"/>
        </w:rPr>
        <w:t>以恩平工业园为重点区域，依托宝索机械等龙头企业，培育发展成套高速生活用纸造纸设备，</w:t>
      </w:r>
      <w:r>
        <w:rPr>
          <w:rFonts w:ascii="Times New Roman" w:hAnsi="Times New Roman" w:eastAsia="仿宋_GB2312" w:cs="Times New Roman"/>
          <w:sz w:val="32"/>
          <w:szCs w:val="32"/>
          <w:shd w:val="clear" w:color="auto" w:fill="FFFFFF"/>
        </w:rPr>
        <w:t>复卷机及配套设备、面巾纸折叠机及配套设备、擦手纸折叠机、餐巾纸折叠机及自动包装机等全系列的生活用纸加工设备。</w:t>
      </w:r>
      <w:r>
        <w:rPr>
          <w:rFonts w:ascii="Times New Roman" w:hAnsi="Times New Roman" w:eastAsia="仿宋_GB2312" w:cs="Times New Roman"/>
          <w:sz w:val="32"/>
          <w:szCs w:val="32"/>
        </w:rPr>
        <w:t>依托智睿包装等企业，培育发展造纸设备、包装设备和医疗食品机械设备。依托新裕华重工、华南重工</w:t>
      </w:r>
      <w:r>
        <w:rPr>
          <w:rFonts w:hint="eastAsia" w:ascii="Times New Roman" w:hAnsi="Times New Roman" w:eastAsia="仿宋_GB2312" w:cs="Times New Roman"/>
          <w:sz w:val="32"/>
          <w:szCs w:val="32"/>
        </w:rPr>
        <w:t>、美力格</w:t>
      </w:r>
      <w:r>
        <w:rPr>
          <w:rFonts w:ascii="Times New Roman" w:hAnsi="Times New Roman" w:eastAsia="仿宋_GB2312" w:cs="Times New Roman"/>
          <w:sz w:val="32"/>
          <w:szCs w:val="32"/>
        </w:rPr>
        <w:t>等骨干企业培育发展特种建筑施工设备和大型挤压设备。</w:t>
      </w:r>
    </w:p>
    <w:p w14:paraId="3EA46F33">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32"/>
        </w:rPr>
        <w:t>输配电与环保装备。</w:t>
      </w:r>
      <w:r>
        <w:rPr>
          <w:rFonts w:ascii="Times New Roman" w:hAnsi="Times New Roman" w:eastAsia="仿宋_GB2312" w:cs="Times New Roman"/>
          <w:sz w:val="32"/>
          <w:szCs w:val="32"/>
        </w:rPr>
        <w:t>以恩平工业园和大槐镇为重点区域，</w:t>
      </w:r>
      <w:r>
        <w:rPr>
          <w:rFonts w:ascii="Times New Roman" w:hAnsi="Times New Roman" w:eastAsia="仿宋_GB2312" w:cs="Times New Roman"/>
          <w:sz w:val="32"/>
          <w:szCs w:val="40"/>
        </w:rPr>
        <w:t>推进输变电装备、节能环保设备等领域发展。以集雅电器、汇茂电气等为龙头企业，大力发展高低压输变电成套设备、智能输变电成套设备、智能电网用户端设备等输变电装备领域，扩大智能电网设备的应用范围。以坤华环保、纳斯卡环保和超康科技等企业项目，重点推动环保机械设备、环保空气净化设备、直饮水净化装置、耐压型超滤膜设备、自动化环保电镀设备、环保自动清洗设备、环保冷热设备、环保回收系统、城乡污水治理等节能环保设备发展壮大。</w:t>
      </w:r>
    </w:p>
    <w:p w14:paraId="2D5C1B64">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32"/>
        </w:rPr>
        <w:t>汽车零部件及模具。</w:t>
      </w:r>
      <w:r>
        <w:rPr>
          <w:rFonts w:ascii="Times New Roman" w:hAnsi="Times New Roman" w:eastAsia="仿宋_GB2312" w:cs="Times New Roman"/>
          <w:sz w:val="32"/>
          <w:szCs w:val="32"/>
        </w:rPr>
        <w:t>以恩平工业园和恩城街道为重点区域，</w:t>
      </w:r>
      <w:r>
        <w:rPr>
          <w:rFonts w:ascii="Times New Roman" w:hAnsi="Times New Roman" w:eastAsia="仿宋_GB2312" w:cs="Times New Roman"/>
          <w:sz w:val="32"/>
          <w:szCs w:val="40"/>
        </w:rPr>
        <w:t>推进新能源汽车零部件、汽车零部件、五金模具、五金制品等领域发展。以晟泰金属制品、松普换向器、宝鸿科技、金娄山模具、锵辉金属制品等项目，培育发展新能源汽车零部件、汽车零部件、五金模具、五金制品、电动工具、马达换向器等。</w:t>
      </w:r>
    </w:p>
    <w:tbl>
      <w:tblPr>
        <w:tblStyle w:val="20"/>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14:paraId="3DBB5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14:paraId="38C0622C">
            <w:pPr>
              <w:spacing w:line="560" w:lineRule="exact"/>
              <w:jc w:val="center"/>
              <w:rPr>
                <w:rFonts w:ascii="Times New Roman" w:hAnsi="Times New Roman" w:eastAsia="黑体" w:cs="Times New Roman"/>
                <w:bCs/>
                <w:sz w:val="28"/>
                <w:szCs w:val="28"/>
              </w:rPr>
            </w:pPr>
            <w:r>
              <w:rPr>
                <w:rFonts w:ascii="Times New Roman" w:hAnsi="Times New Roman" w:eastAsia="黑体" w:cs="Times New Roman"/>
                <w:sz w:val="28"/>
                <w:szCs w:val="28"/>
              </w:rPr>
              <w:t>专栏1</w:t>
            </w:r>
            <w:r>
              <w:rPr>
                <w:rFonts w:hint="eastAsia" w:ascii="Times New Roman" w:hAnsi="Times New Roman" w:eastAsia="黑体" w:cs="Times New Roman"/>
                <w:sz w:val="28"/>
                <w:szCs w:val="28"/>
              </w:rPr>
              <w:t>高端</w:t>
            </w:r>
            <w:r>
              <w:rPr>
                <w:rFonts w:ascii="Times New Roman" w:hAnsi="Times New Roman" w:eastAsia="黑体" w:cs="Times New Roman"/>
                <w:sz w:val="28"/>
                <w:szCs w:val="28"/>
              </w:rPr>
              <w:t>装备制造</w:t>
            </w:r>
            <w:r>
              <w:rPr>
                <w:rFonts w:hint="eastAsia" w:ascii="Times New Roman" w:hAnsi="Times New Roman" w:eastAsia="黑体" w:cs="Times New Roman"/>
                <w:sz w:val="28"/>
                <w:szCs w:val="28"/>
              </w:rPr>
              <w:t>产</w:t>
            </w:r>
            <w:r>
              <w:rPr>
                <w:rFonts w:ascii="Times New Roman" w:hAnsi="Times New Roman" w:eastAsia="黑体" w:cs="Times New Roman"/>
                <w:sz w:val="28"/>
                <w:szCs w:val="28"/>
              </w:rPr>
              <w:t>业集群发展目标与重点发展目录</w:t>
            </w:r>
          </w:p>
        </w:tc>
      </w:tr>
      <w:tr w14:paraId="1F53D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14:paraId="73DAC5B1">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一、发展目标</w:t>
            </w:r>
          </w:p>
          <w:p w14:paraId="308E1A0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到2025年，</w:t>
            </w:r>
            <w:r>
              <w:rPr>
                <w:rFonts w:hint="eastAsia" w:ascii="Times New Roman" w:hAnsi="Times New Roman" w:eastAsia="仿宋_GB2312" w:cs="Times New Roman"/>
                <w:sz w:val="32"/>
                <w:szCs w:val="32"/>
              </w:rPr>
              <w:t>高端</w:t>
            </w:r>
            <w:r>
              <w:rPr>
                <w:rFonts w:ascii="Times New Roman" w:hAnsi="Times New Roman" w:eastAsia="仿宋_GB2312" w:cs="Times New Roman"/>
                <w:sz w:val="32"/>
                <w:szCs w:val="32"/>
              </w:rPr>
              <w:t>装备制造</w:t>
            </w:r>
            <w:r>
              <w:rPr>
                <w:rFonts w:hint="eastAsia" w:ascii="Times New Roman" w:hAnsi="Times New Roman" w:eastAsia="仿宋_GB2312" w:cs="Times New Roman"/>
                <w:sz w:val="32"/>
                <w:szCs w:val="32"/>
              </w:rPr>
              <w:t>产</w:t>
            </w:r>
            <w:r>
              <w:rPr>
                <w:rFonts w:ascii="Times New Roman" w:hAnsi="Times New Roman" w:eastAsia="仿宋_GB2312" w:cs="Times New Roman"/>
                <w:sz w:val="32"/>
                <w:szCs w:val="32"/>
              </w:rPr>
              <w:t>业</w:t>
            </w:r>
            <w:r>
              <w:rPr>
                <w:rFonts w:hint="eastAsia" w:ascii="Times New Roman" w:hAnsi="Times New Roman" w:eastAsia="仿宋_GB2312" w:cs="Times New Roman"/>
                <w:sz w:val="32"/>
                <w:szCs w:val="32"/>
              </w:rPr>
              <w:t>集群</w:t>
            </w:r>
            <w:r>
              <w:rPr>
                <w:rFonts w:ascii="Times New Roman" w:hAnsi="Times New Roman" w:eastAsia="仿宋_GB2312" w:cs="Times New Roman"/>
                <w:sz w:val="32"/>
                <w:szCs w:val="32"/>
              </w:rPr>
              <w:t>产值规模达到</w:t>
            </w:r>
            <w:r>
              <w:rPr>
                <w:rFonts w:hint="eastAsia" w:ascii="Times New Roman" w:hAnsi="Times New Roman" w:eastAsia="仿宋_GB2312" w:cs="Times New Roman"/>
                <w:sz w:val="32"/>
                <w:szCs w:val="32"/>
                <w:u w:val="single"/>
              </w:rPr>
              <w:t>100</w:t>
            </w:r>
            <w:r>
              <w:rPr>
                <w:rFonts w:ascii="Times New Roman" w:hAnsi="Times New Roman" w:eastAsia="仿宋_GB2312" w:cs="Times New Roman"/>
                <w:sz w:val="32"/>
                <w:szCs w:val="32"/>
              </w:rPr>
              <w:t>亿元。</w:t>
            </w:r>
          </w:p>
          <w:p w14:paraId="0F52B77A">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二、重点发展目录</w:t>
            </w:r>
          </w:p>
          <w:p w14:paraId="77C4B79B">
            <w:pPr>
              <w:spacing w:line="560" w:lineRule="exact"/>
              <w:ind w:firstLine="562" w:firstLineChars="200"/>
              <w:rPr>
                <w:rFonts w:ascii="Times New Roman" w:hAnsi="Times New Roman" w:eastAsia="楷体" w:cs="Times New Roman"/>
                <w:bCs/>
                <w:sz w:val="28"/>
                <w:szCs w:val="28"/>
              </w:rPr>
            </w:pPr>
            <w:r>
              <w:rPr>
                <w:rFonts w:ascii="Times New Roman" w:hAnsi="Times New Roman" w:eastAsia="楷体" w:cs="Times New Roman"/>
                <w:b/>
                <w:sz w:val="28"/>
                <w:szCs w:val="28"/>
              </w:rPr>
              <w:t>1.数控设备。</w:t>
            </w:r>
          </w:p>
          <w:p w14:paraId="44A265B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作母机：数控钻攻中心、立式加工中心、型材机、卧式加工中心、雕铣机以及龙门加工中心，SC系列，以及数控机床、数控加工中心、精密加工中心、组装与检测设备等机械设备；大型金属挤压机、铝型材数控机床、铝材深加工装备制造及应用产品研发生产。</w:t>
            </w:r>
          </w:p>
          <w:p w14:paraId="7EF568E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——精密零配件：铝基螺杆滑台、铝基皮带滑台模组和钢制直线模组及精密直线导轨、精密直线滑块等关键零配件。</w:t>
            </w:r>
          </w:p>
          <w:p w14:paraId="32BBFAB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智能机器人：智能机械人、智能家居控制系统、施工升降机、真空（洁净）机器人、智能工业机器人、高精密减速器等，以及高性能机器人专用伺服电机和驱动器、高速高性能控制器、传感器、末端执行器等关键零部件。</w:t>
            </w:r>
          </w:p>
          <w:p w14:paraId="584999C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——精密仪器：工业自动化测控仪器与系统、微型智能电机、微型智能传感器、智能化仪器仪表、精密分析仪器、光学精密测量仪器等。</w:t>
            </w:r>
          </w:p>
          <w:p w14:paraId="385E725D">
            <w:pPr>
              <w:spacing w:line="560" w:lineRule="exact"/>
              <w:ind w:firstLine="562" w:firstLineChars="200"/>
              <w:rPr>
                <w:rFonts w:ascii="Times New Roman" w:hAnsi="Times New Roman" w:eastAsia="仿宋_GB2312" w:cs="Times New Roman"/>
                <w:sz w:val="32"/>
                <w:szCs w:val="32"/>
              </w:rPr>
            </w:pPr>
            <w:r>
              <w:rPr>
                <w:rFonts w:ascii="Times New Roman" w:hAnsi="Times New Roman" w:eastAsia="楷体" w:cs="Times New Roman"/>
                <w:b/>
                <w:bCs/>
                <w:sz w:val="28"/>
                <w:szCs w:val="28"/>
              </w:rPr>
              <w:t>2.包装机械装备。</w:t>
            </w:r>
            <w:r>
              <w:rPr>
                <w:rFonts w:ascii="Times New Roman" w:hAnsi="Times New Roman" w:eastAsia="仿宋_GB2312" w:cs="Times New Roman"/>
                <w:sz w:val="32"/>
                <w:szCs w:val="32"/>
              </w:rPr>
              <w:t>成套高速生活用纸造纸设备，复卷机及配套设备、面巾纸折叠机及配套设备、擦手纸折叠机、餐巾纸折叠机及自动包装机等全系列的生活用纸加工设备，造纸设备、包装印刷机械设备、医疗食品机械设备、烘干设备、特种建筑施工设备、大型挤压设备等。</w:t>
            </w:r>
          </w:p>
          <w:p w14:paraId="2FB1AA3C">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3.输配电与环保装备。</w:t>
            </w:r>
          </w:p>
          <w:p w14:paraId="6AA361B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输变电装备：高低压交流输变电成套装备及关键零部件、智能变电站成套装置、智能配电网成套装置等智能输变电成套设备，智能变压器，智能配电电器，智能控制电器、用户端电气成套装置等智能电网用户端设备。</w:t>
            </w:r>
          </w:p>
          <w:p w14:paraId="392A557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——环保设备：环保机械设备、环保空气净化设备、自动化环保电镀设备、环保自动清洗设备、环保冷热设备、环保回收系统、城乡污水治理设备。</w:t>
            </w:r>
          </w:p>
          <w:p w14:paraId="44EF79AD">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4.汽车零部件及模具。</w:t>
            </w:r>
          </w:p>
          <w:p w14:paraId="6F63BAB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——汽车零部件：新能源汽车零部件、汽车零部件、电动工具、马达换向器等。</w:t>
            </w:r>
          </w:p>
          <w:p w14:paraId="3E3A6890">
            <w:pPr>
              <w:spacing w:line="560" w:lineRule="exact"/>
              <w:ind w:firstLine="640" w:firstLineChars="200"/>
              <w:rPr>
                <w:rFonts w:ascii="Times New Roman" w:hAnsi="Times New Roman" w:eastAsia="楷体" w:cs="Times New Roman"/>
                <w:bCs/>
                <w:sz w:val="28"/>
                <w:szCs w:val="28"/>
              </w:rPr>
            </w:pPr>
            <w:r>
              <w:rPr>
                <w:rFonts w:ascii="Times New Roman" w:hAnsi="Times New Roman" w:eastAsia="仿宋_GB2312" w:cs="Times New Roman"/>
                <w:sz w:val="32"/>
                <w:szCs w:val="32"/>
              </w:rPr>
              <w:t>——模具：五金模具、模具、金属制品、五金制品、金属配件等。</w:t>
            </w:r>
          </w:p>
        </w:tc>
      </w:tr>
    </w:tbl>
    <w:p w14:paraId="6148BD8B">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2、新一代电子信息</w:t>
      </w:r>
    </w:p>
    <w:p w14:paraId="34249879">
      <w:pPr>
        <w:pStyle w:val="18"/>
        <w:shd w:val="clear" w:color="auto" w:fill="FFFFFF"/>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引入工业互联网、人工智能与生产制造过程相结合，推动演艺装备和电声器材行业向信息技术应用创新和语音识别系统发展，攻克音视频传输系统、语音识别系统和协议创新、无线麦克风嵌入式操作系统、演艺装备数控系统、功能设备的核心关键技术，实现音视频传输、会议传译、演艺音响、灯光、舞台机械与数控系统的融合发展与统筹部署，打造完整大信创产业链，利用5G技术和高端芯片开发智能终端电声产品，提升我市新一代电子信息产业的国际竞争力。重点发展智能会议系统类、直播系统类、演艺音响类、演艺灯光类、演艺特效类等主要设备，加快发展成套化与高端化演艺设备的制造。利用数字化技术推动智能家居、智能家电和智能家用电子、智能运动电子等发展打造智能家电（小家电、电子）产业领域。鼓励引导演艺装备行业与智能装备行业融合，推动信息技术应用创新产业发展，加快推动</w:t>
      </w:r>
      <w:r>
        <w:rPr>
          <w:rFonts w:hint="eastAsia" w:ascii="Times New Roman" w:hAnsi="Times New Roman" w:eastAsia="仿宋_GB2312" w:cs="Times New Roman"/>
          <w:sz w:val="32"/>
          <w:szCs w:val="32"/>
        </w:rPr>
        <w:t>华之音、冠铨电子增资扩产项目、龙峰光电、鼎诺演艺装备等一批演艺装备行业延链补链项目</w:t>
      </w:r>
      <w:r>
        <w:rPr>
          <w:rFonts w:ascii="Times New Roman" w:hAnsi="Times New Roman" w:eastAsia="仿宋_GB2312" w:cs="Times New Roman"/>
          <w:sz w:val="32"/>
          <w:szCs w:val="32"/>
        </w:rPr>
        <w:t>建设投产，推动智能装备软件和消费电子发展，构建强链补链延链，带动我市演艺装备和电声器材行业向大信创产业和语音识别方向转型升级</w:t>
      </w:r>
      <w:r>
        <w:rPr>
          <w:rFonts w:ascii="Times New Roman" w:hAnsi="Times New Roman" w:eastAsia="仿宋_GB2312" w:cs="Times New Roman"/>
          <w:sz w:val="32"/>
          <w:szCs w:val="40"/>
        </w:rPr>
        <w:t>。</w:t>
      </w:r>
    </w:p>
    <w:p w14:paraId="06E5A233">
      <w:pPr>
        <w:spacing w:line="560" w:lineRule="exact"/>
        <w:ind w:firstLine="630" w:firstLineChars="196"/>
        <w:rPr>
          <w:rFonts w:ascii="Times New Roman" w:hAnsi="Times New Roman" w:eastAsia="仿宋_GB2312" w:cs="Times New Roman"/>
          <w:sz w:val="32"/>
          <w:szCs w:val="40"/>
        </w:rPr>
      </w:pPr>
      <w:r>
        <w:rPr>
          <w:rFonts w:ascii="Times New Roman" w:hAnsi="Times New Roman" w:eastAsia="仿宋_GB2312" w:cs="Times New Roman"/>
          <w:b/>
          <w:bCs/>
          <w:sz w:val="32"/>
          <w:szCs w:val="40"/>
        </w:rPr>
        <w:t>信息技术应用创新。</w:t>
      </w:r>
      <w:r>
        <w:rPr>
          <w:rFonts w:ascii="Times New Roman" w:hAnsi="Times New Roman" w:eastAsia="仿宋_GB2312" w:cs="Times New Roman"/>
          <w:sz w:val="32"/>
          <w:szCs w:val="40"/>
        </w:rPr>
        <w:t>以恩平工业园为重点区域，引导海天电子、捷思通电子等企业突破国外对音视频传输技术壁垒和封锁，研发具有自主知识产权的音视频传输系统、语音识别系统和协议创新，进一步提升其在政府公用高档产品市场份额；鼓励引导</w:t>
      </w:r>
      <w:r>
        <w:rPr>
          <w:rFonts w:hint="eastAsia" w:ascii="Times New Roman" w:hAnsi="Times New Roman" w:eastAsia="仿宋_GB2312" w:cs="Times New Roman"/>
          <w:sz w:val="32"/>
          <w:szCs w:val="40"/>
        </w:rPr>
        <w:t>海天电子、</w:t>
      </w:r>
      <w:r>
        <w:rPr>
          <w:rFonts w:ascii="Times New Roman" w:hAnsi="Times New Roman" w:eastAsia="仿宋_GB2312" w:cs="Times New Roman"/>
          <w:sz w:val="32"/>
          <w:szCs w:val="40"/>
        </w:rPr>
        <w:t>帕思高电子、上格电子等企业发展深化产品嵌入式操作系统的研发，开发新一代无线麦克风应用系统，针对具有竞争力、发展潜力的高技术产品，配备具有自主知识产权的产品嵌入式操作系统。以</w:t>
      </w:r>
      <w:r>
        <w:rPr>
          <w:rFonts w:hint="eastAsia" w:ascii="Times New Roman" w:hAnsi="Times New Roman" w:eastAsia="仿宋_GB2312" w:cs="Times New Roman"/>
          <w:sz w:val="32"/>
          <w:szCs w:val="32"/>
        </w:rPr>
        <w:t>方达集团声光电文化创业园</w:t>
      </w: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rPr>
        <w:t>珠西声谷</w:t>
      </w:r>
      <w:r>
        <w:rPr>
          <w:rFonts w:ascii="Times New Roman" w:hAnsi="Times New Roman" w:eastAsia="仿宋_GB2312" w:cs="Times New Roman"/>
          <w:sz w:val="32"/>
          <w:szCs w:val="40"/>
        </w:rPr>
        <w:t>等企业项目为引领，推进智慧城市建设和5G创新应用发展，重点引进和培育软件和信息服务企业。深化云计算、大数据、物联网、人工智能等技术在产品研发设计、生产过程控制、经营管理、市场营销、售后服务等关键环节的应用和服务。依托我市演艺装备、电声器材、智能装备制造业基础，探索“5G+工业互联网”创新应用，打造一批面向制造业的服务平台。强化创意技术设备制造，积极发展游戏、动漫、设计服务、电竞、直播、短视频等数字创意新模式新业态。</w:t>
      </w:r>
    </w:p>
    <w:p w14:paraId="25B5000D">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演艺设备。</w:t>
      </w:r>
      <w:r>
        <w:rPr>
          <w:rFonts w:ascii="Times New Roman" w:hAnsi="Times New Roman" w:eastAsia="仿宋_GB2312" w:cs="Times New Roman"/>
          <w:sz w:val="32"/>
          <w:szCs w:val="32"/>
        </w:rPr>
        <w:t>以恩平工业园、东成镇和恩城街道办为重点区域，</w:t>
      </w:r>
      <w:r>
        <w:rPr>
          <w:rFonts w:ascii="Times New Roman" w:hAnsi="Times New Roman" w:eastAsia="仿宋_GB2312" w:cs="Times New Roman"/>
          <w:sz w:val="32"/>
          <w:szCs w:val="40"/>
        </w:rPr>
        <w:t>重点发展</w:t>
      </w:r>
      <w:r>
        <w:rPr>
          <w:rFonts w:ascii="Times New Roman" w:hAnsi="Times New Roman" w:eastAsia="仿宋_GB2312" w:cs="Times New Roman"/>
          <w:sz w:val="32"/>
          <w:szCs w:val="32"/>
        </w:rPr>
        <w:t>演唱系统类、直播系统类、演艺音响类、演艺灯光类等主要设备和</w:t>
      </w:r>
      <w:r>
        <w:rPr>
          <w:rFonts w:ascii="Times New Roman" w:hAnsi="Times New Roman" w:eastAsia="仿宋_GB2312" w:cs="Times New Roman"/>
          <w:sz w:val="32"/>
          <w:szCs w:val="40"/>
        </w:rPr>
        <w:t>智能终端等产业领域。以美笛声科技、仙笛音响等企业基础上，</w:t>
      </w:r>
      <w:r>
        <w:rPr>
          <w:rFonts w:hint="eastAsia" w:ascii="Times New Roman" w:hAnsi="Times New Roman" w:eastAsia="仿宋_GB2312" w:cs="Times New Roman"/>
          <w:sz w:val="32"/>
          <w:szCs w:val="40"/>
        </w:rPr>
        <w:t>鼓励奥科电子</w:t>
      </w: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rPr>
        <w:t>帕思高电子</w:t>
      </w:r>
      <w:r>
        <w:rPr>
          <w:rFonts w:ascii="Times New Roman" w:hAnsi="Times New Roman" w:eastAsia="仿宋_GB2312" w:cs="Times New Roman"/>
          <w:sz w:val="32"/>
          <w:szCs w:val="40"/>
        </w:rPr>
        <w:t>等，推动发展音视频演唱系统、户内户外直播系统、智能演艺音响设备系统。以</w:t>
      </w:r>
      <w:r>
        <w:rPr>
          <w:rFonts w:hint="eastAsia" w:ascii="Times New Roman" w:hAnsi="Times New Roman" w:eastAsia="仿宋_GB2312" w:cs="Times New Roman"/>
          <w:sz w:val="32"/>
          <w:szCs w:val="40"/>
        </w:rPr>
        <w:t>浩明电子、</w:t>
      </w:r>
      <w:r>
        <w:rPr>
          <w:rFonts w:ascii="Times New Roman" w:hAnsi="Times New Roman" w:eastAsia="仿宋_GB2312" w:cs="Times New Roman"/>
          <w:sz w:val="32"/>
          <w:szCs w:val="40"/>
        </w:rPr>
        <w:t>江声音响科技、裕创声光科技、</w:t>
      </w:r>
      <w:r>
        <w:rPr>
          <w:rFonts w:hint="eastAsia" w:ascii="Times New Roman" w:hAnsi="Times New Roman" w:eastAsia="仿宋_GB2312" w:cs="Times New Roman"/>
          <w:sz w:val="32"/>
          <w:szCs w:val="40"/>
        </w:rPr>
        <w:t>宇之亮、</w:t>
      </w:r>
      <w:r>
        <w:rPr>
          <w:rFonts w:ascii="Times New Roman" w:hAnsi="Times New Roman" w:eastAsia="仿宋_GB2312" w:cs="Times New Roman"/>
          <w:sz w:val="32"/>
          <w:szCs w:val="40"/>
        </w:rPr>
        <w:t>爱高音视频科技、东雷音响、易歌电子科技等项目，重点发展音响设备、汽车音响、智能家居音响，演艺灯光设备、</w:t>
      </w:r>
      <w:r>
        <w:rPr>
          <w:rFonts w:hint="eastAsia" w:ascii="Times New Roman" w:hAnsi="Times New Roman" w:eastAsia="仿宋_GB2312" w:cs="Times New Roman"/>
          <w:sz w:val="32"/>
          <w:szCs w:val="40"/>
        </w:rPr>
        <w:t>汽车灯饰</w:t>
      </w:r>
      <w:r>
        <w:rPr>
          <w:rFonts w:ascii="Times New Roman" w:hAnsi="Times New Roman" w:eastAsia="仿宋_GB2312" w:cs="Times New Roman"/>
          <w:sz w:val="32"/>
          <w:szCs w:val="40"/>
        </w:rPr>
        <w:t>等产品设备。以</w:t>
      </w:r>
      <w:r>
        <w:rPr>
          <w:rFonts w:hint="eastAsia" w:ascii="Times New Roman" w:hAnsi="Times New Roman" w:eastAsia="仿宋_GB2312" w:cs="Times New Roman"/>
          <w:sz w:val="32"/>
          <w:szCs w:val="40"/>
        </w:rPr>
        <w:t>珠西科创智谷、</w:t>
      </w:r>
      <w:r>
        <w:rPr>
          <w:rFonts w:ascii="Times New Roman" w:hAnsi="Times New Roman" w:eastAsia="仿宋_GB2312" w:cs="Times New Roman"/>
          <w:sz w:val="32"/>
          <w:szCs w:val="32"/>
        </w:rPr>
        <w:t>冠铨电子</w:t>
      </w:r>
      <w:r>
        <w:rPr>
          <w:rFonts w:ascii="Times New Roman" w:hAnsi="Times New Roman" w:eastAsia="仿宋_GB2312" w:cs="Times New Roman"/>
          <w:sz w:val="32"/>
          <w:szCs w:val="40"/>
        </w:rPr>
        <w:t>等电子零部件制造基础上，以片式化、微型化、集成化、高性能化为目标提升发展线路板、电子元件及组件等。积极引进和培育一批5G领军企业，鼓励企业围绕基础元器件、通信模组、网络与基站设备、终端配件、光纤光缆等产品，打造5G自主软硬件体系。推动电子零部件向下游延伸，发展可穿戴设备、智能家居等智能终端产品。</w:t>
      </w:r>
    </w:p>
    <w:p w14:paraId="78DD1E2B">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智能家电。</w:t>
      </w:r>
      <w:r>
        <w:rPr>
          <w:rFonts w:ascii="Times New Roman" w:hAnsi="Times New Roman" w:eastAsia="仿宋_GB2312" w:cs="Times New Roman"/>
          <w:sz w:val="32"/>
          <w:szCs w:val="32"/>
        </w:rPr>
        <w:t>以恩平工业园和大槐镇为重点区域，</w:t>
      </w:r>
      <w:r>
        <w:rPr>
          <w:rFonts w:ascii="Times New Roman" w:hAnsi="Times New Roman" w:eastAsia="仿宋_GB2312" w:cs="Times New Roman"/>
          <w:sz w:val="32"/>
          <w:szCs w:val="40"/>
        </w:rPr>
        <w:t>以金羚智能电器、捷兴电器、雄力实业、</w:t>
      </w:r>
      <w:r>
        <w:rPr>
          <w:rFonts w:hint="eastAsia" w:ascii="Times New Roman" w:hAnsi="Times New Roman" w:eastAsia="仿宋_GB2312" w:cs="Times New Roman"/>
          <w:sz w:val="32"/>
          <w:szCs w:val="40"/>
        </w:rPr>
        <w:t>星力烤箱</w:t>
      </w:r>
      <w:r>
        <w:rPr>
          <w:rFonts w:ascii="Times New Roman" w:hAnsi="Times New Roman" w:eastAsia="仿宋_GB2312" w:cs="Times New Roman"/>
          <w:sz w:val="32"/>
          <w:szCs w:val="40"/>
        </w:rPr>
        <w:t>等</w:t>
      </w:r>
      <w:r>
        <w:rPr>
          <w:rFonts w:hint="eastAsia" w:ascii="Times New Roman" w:hAnsi="Times New Roman" w:eastAsia="仿宋_GB2312" w:cs="Times New Roman"/>
          <w:sz w:val="32"/>
          <w:szCs w:val="40"/>
        </w:rPr>
        <w:t>一批智能家电</w:t>
      </w:r>
      <w:r>
        <w:rPr>
          <w:rFonts w:ascii="Times New Roman" w:hAnsi="Times New Roman" w:eastAsia="仿宋_GB2312" w:cs="Times New Roman"/>
          <w:sz w:val="32"/>
          <w:szCs w:val="40"/>
        </w:rPr>
        <w:t>企业项目</w:t>
      </w:r>
      <w:r>
        <w:rPr>
          <w:rFonts w:hint="eastAsia" w:ascii="Times New Roman" w:hAnsi="Times New Roman" w:eastAsia="仿宋_GB2312" w:cs="Times New Roman"/>
          <w:sz w:val="32"/>
          <w:szCs w:val="40"/>
        </w:rPr>
        <w:t>为基础</w:t>
      </w:r>
      <w:r>
        <w:rPr>
          <w:rFonts w:ascii="Times New Roman" w:hAnsi="Times New Roman" w:eastAsia="仿宋_GB2312" w:cs="Times New Roman"/>
          <w:sz w:val="32"/>
          <w:szCs w:val="40"/>
        </w:rPr>
        <w:t>，重点发展智能家用电器、高效节能电器、智能运动电子产品、智能健康电子产品、智能家庭电子产品、儿童电子产品和智能穿戴用品等智能家居家用电器电子产品。强化电声器材产业优势，推动传统家电、小家电实现数字化、智能化转型。支持家电企业实施智能制造，建设智能工厂、数字化车间。推进家电绿色供应链发展，建设一批家电的绿色产品、绿色工厂、绿色园区。</w:t>
      </w:r>
    </w:p>
    <w:tbl>
      <w:tblPr>
        <w:tblStyle w:val="20"/>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14:paraId="19DFB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14:paraId="7BF331EF">
            <w:pPr>
              <w:spacing w:line="560" w:lineRule="exact"/>
              <w:jc w:val="center"/>
              <w:rPr>
                <w:rFonts w:ascii="Times New Roman" w:hAnsi="Times New Roman" w:eastAsia="黑体" w:cs="Times New Roman"/>
                <w:bCs/>
                <w:sz w:val="28"/>
                <w:szCs w:val="28"/>
              </w:rPr>
            </w:pPr>
            <w:r>
              <w:rPr>
                <w:rFonts w:ascii="Times New Roman" w:hAnsi="Times New Roman" w:eastAsia="黑体" w:cs="Times New Roman"/>
                <w:sz w:val="28"/>
                <w:szCs w:val="28"/>
              </w:rPr>
              <w:t>专栏2新一代电子信息产业集群发展目标与重点发展目录</w:t>
            </w:r>
          </w:p>
        </w:tc>
      </w:tr>
      <w:tr w14:paraId="3A8C4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14:paraId="66CD054B">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一、发展目标</w:t>
            </w:r>
          </w:p>
          <w:p w14:paraId="10A063CE">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2025年，</w:t>
            </w:r>
            <w:r>
              <w:rPr>
                <w:rFonts w:hint="eastAsia" w:ascii="Times New Roman" w:hAnsi="Times New Roman" w:eastAsia="仿宋_GB2312" w:cs="Times New Roman"/>
                <w:sz w:val="32"/>
                <w:szCs w:val="40"/>
              </w:rPr>
              <w:t>新一代电子信息</w:t>
            </w:r>
            <w:r>
              <w:rPr>
                <w:rFonts w:ascii="Times New Roman" w:hAnsi="Times New Roman" w:eastAsia="仿宋_GB2312" w:cs="Times New Roman"/>
                <w:sz w:val="32"/>
                <w:szCs w:val="40"/>
              </w:rPr>
              <w:t>产业</w:t>
            </w:r>
            <w:r>
              <w:rPr>
                <w:rFonts w:hint="eastAsia" w:ascii="宋体" w:hAnsi="宋体" w:cs="宋体"/>
                <w:sz w:val="32"/>
                <w:szCs w:val="40"/>
              </w:rPr>
              <w:t>集群</w:t>
            </w:r>
            <w:r>
              <w:rPr>
                <w:rFonts w:ascii="Times New Roman" w:hAnsi="Times New Roman" w:eastAsia="仿宋_GB2312" w:cs="Times New Roman"/>
                <w:sz w:val="32"/>
                <w:szCs w:val="40"/>
              </w:rPr>
              <w:t>产值规模达到</w:t>
            </w:r>
            <w:r>
              <w:rPr>
                <w:rFonts w:ascii="Times New Roman" w:hAnsi="Times New Roman" w:eastAsia="仿宋_GB2312" w:cs="Times New Roman"/>
                <w:sz w:val="32"/>
                <w:szCs w:val="40"/>
                <w:u w:val="single"/>
              </w:rPr>
              <w:t>30</w:t>
            </w:r>
            <w:r>
              <w:rPr>
                <w:rFonts w:ascii="Times New Roman" w:hAnsi="Times New Roman" w:eastAsia="仿宋_GB2312" w:cs="Times New Roman"/>
                <w:sz w:val="32"/>
                <w:szCs w:val="40"/>
              </w:rPr>
              <w:t>亿元。</w:t>
            </w:r>
          </w:p>
          <w:p w14:paraId="1A3475F6">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二、重点发展目录</w:t>
            </w:r>
          </w:p>
          <w:p w14:paraId="7AE5B83C">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1.信息技术应用创新。</w:t>
            </w:r>
          </w:p>
          <w:p w14:paraId="2CAED375">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新一代会议系统设备：音视频传输系统、语音识别系统和协议创新；新一代无线麦克风嵌入式操作系统；5G环境应用与智能识别、智能分析、智能调节功能的智能会议系统，音视频功能一体远程会议系统；户内户外音视频一体化直播系统，远程会议设备、新型直播设备；专业无线接收设备、手机电脑通用型直播声卡、通信网络设备、光模块、网络终端等。</w:t>
            </w:r>
          </w:p>
          <w:p w14:paraId="376A709F">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软件和信息服务：工业互联网：工业互联网平台，推动陶瓷、纺织服装、化工等优势传统行业企业“上云上平台”；计算机软件、工业智能控制系统，工业自动化系统。大数据与人工智能：面向基础设施建设、电力、银行、科研、交通、医疗等各大领域的数据中心应用；开展大数据与人工智能在工业和政务领域的应用创新和试点示范。数字创意：游戏、动漫、设计服务、电竞、直播、短视频等。</w:t>
            </w:r>
          </w:p>
          <w:p w14:paraId="2546ED2B">
            <w:pPr>
              <w:spacing w:line="560" w:lineRule="exact"/>
              <w:ind w:firstLine="562" w:firstLineChars="200"/>
              <w:rPr>
                <w:rFonts w:ascii="Times New Roman" w:hAnsi="Times New Roman" w:eastAsia="楷体" w:cs="Times New Roman"/>
                <w:b/>
                <w:sz w:val="28"/>
                <w:szCs w:val="28"/>
              </w:rPr>
            </w:pPr>
            <w:r>
              <w:rPr>
                <w:rFonts w:ascii="Times New Roman" w:hAnsi="Times New Roman" w:eastAsia="楷体" w:cs="Times New Roman"/>
                <w:b/>
                <w:sz w:val="28"/>
                <w:szCs w:val="28"/>
              </w:rPr>
              <w:t>2.演艺设备。</w:t>
            </w:r>
          </w:p>
          <w:p w14:paraId="50BA9AF9">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智能终端设备：智能演艺音响设备、智能演艺灯光设备、智能演艺特效设备、智能观演视效设备，专业音响设备、汽车音响、智能家居音响，智能功放调音台，智能音箱、智能咪，智能耳机、无线耳机，通信系统设备，通信终端设备，影视录放设备等新型智能终端产品。</w:t>
            </w:r>
          </w:p>
          <w:p w14:paraId="0D659479">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——电子元器件：应对演艺装备、智能家电领域的多种需求，加强线路板、电子元件及组件，基础元器件、终端配件、光纤光缆等电子元器件产品的研发和应用。</w:t>
            </w:r>
          </w:p>
          <w:p w14:paraId="798550C0">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3.智能家电。</w:t>
            </w:r>
          </w:p>
          <w:p w14:paraId="44427FC9">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——智能家电：智能节能环保变频家电、健康厨卫电器、智能小家电、智能家居用品、智能日用家电、高效节能电器等。</w:t>
            </w:r>
          </w:p>
          <w:p w14:paraId="67434846">
            <w:pPr>
              <w:spacing w:line="560" w:lineRule="exact"/>
              <w:ind w:firstLine="640" w:firstLineChars="200"/>
              <w:rPr>
                <w:rFonts w:ascii="Times New Roman" w:hAnsi="Times New Roman" w:eastAsia="楷体" w:cs="Times New Roman"/>
                <w:bCs/>
                <w:sz w:val="28"/>
                <w:szCs w:val="28"/>
              </w:rPr>
            </w:pPr>
            <w:r>
              <w:rPr>
                <w:rFonts w:ascii="Times New Roman" w:hAnsi="Times New Roman" w:eastAsia="仿宋_GB2312" w:cs="Times New Roman"/>
                <w:sz w:val="32"/>
                <w:szCs w:val="40"/>
              </w:rPr>
              <w:t>——智能电子：智能运动电子产品、智能健康电子产品、智能家庭电子产品、儿童电子产品、智能穿戴用品、网络视频监控、家庭智能网关等。</w:t>
            </w:r>
          </w:p>
        </w:tc>
      </w:tr>
    </w:tbl>
    <w:p w14:paraId="05946E72">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3、</w:t>
      </w:r>
      <w:r>
        <w:rPr>
          <w:rFonts w:hint="eastAsia" w:ascii="Times New Roman" w:hAnsi="Times New Roman" w:eastAsia="仿宋_GB2312" w:cs="Times New Roman"/>
          <w:b/>
          <w:sz w:val="32"/>
          <w:szCs w:val="40"/>
        </w:rPr>
        <w:t>现代农业与食品</w:t>
      </w:r>
    </w:p>
    <w:p w14:paraId="158AFBF4">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充分发挥优质水资源优势，培育发展现代农业与食品产业。</w:t>
      </w:r>
      <w:r>
        <w:rPr>
          <w:rFonts w:ascii="Times New Roman" w:hAnsi="Times New Roman" w:eastAsia="仿宋_GB2312" w:cs="Times New Roman"/>
          <w:sz w:val="32"/>
          <w:szCs w:val="32"/>
        </w:rPr>
        <w:t>以引入</w:t>
      </w:r>
      <w:r>
        <w:rPr>
          <w:rFonts w:hint="eastAsia" w:ascii="Times New Roman" w:hAnsi="Times New Roman" w:eastAsia="仿宋_GB2312" w:cs="Times New Roman"/>
          <w:sz w:val="32"/>
          <w:szCs w:val="32"/>
        </w:rPr>
        <w:t>深圳科技园湾西国际食品谷</w:t>
      </w:r>
      <w:r>
        <w:rPr>
          <w:rFonts w:ascii="Times New Roman" w:hAnsi="Times New Roman" w:eastAsia="仿宋_GB2312" w:cs="Times New Roman"/>
          <w:sz w:val="32"/>
          <w:szCs w:val="32"/>
        </w:rPr>
        <w:t>项目为契机，</w:t>
      </w:r>
      <w:r>
        <w:rPr>
          <w:rFonts w:hint="eastAsia" w:ascii="Times New Roman" w:hAnsi="Times New Roman" w:eastAsia="仿宋_GB2312" w:cs="Times New Roman"/>
          <w:sz w:val="32"/>
          <w:szCs w:val="32"/>
        </w:rPr>
        <w:t>引进食品饮料、预制菜、道地药材、现代食品装备制造、冷链物流、包装与保鲜等产业链企业集聚发展，</w:t>
      </w:r>
      <w:r>
        <w:rPr>
          <w:rFonts w:ascii="Times New Roman" w:hAnsi="Times New Roman" w:eastAsia="仿宋_GB2312" w:cs="Times New Roman"/>
          <w:sz w:val="32"/>
          <w:szCs w:val="32"/>
        </w:rPr>
        <w:t>力促</w:t>
      </w:r>
      <w:r>
        <w:rPr>
          <w:rFonts w:hint="eastAsia" w:ascii="Times New Roman" w:hAnsi="Times New Roman" w:eastAsia="仿宋_GB2312" w:cs="Times New Roman"/>
          <w:sz w:val="32"/>
          <w:szCs w:val="32"/>
        </w:rPr>
        <w:t>现代农业与食品</w:t>
      </w:r>
      <w:r>
        <w:rPr>
          <w:rFonts w:ascii="Times New Roman" w:hAnsi="Times New Roman" w:eastAsia="仿宋_GB2312" w:cs="Times New Roman"/>
          <w:sz w:val="32"/>
          <w:szCs w:val="32"/>
        </w:rPr>
        <w:t>成为我市</w:t>
      </w:r>
      <w:r>
        <w:rPr>
          <w:rFonts w:hint="eastAsia" w:ascii="Times New Roman" w:hAnsi="Times New Roman" w:eastAsia="仿宋_GB2312" w:cs="Times New Roman"/>
          <w:sz w:val="32"/>
          <w:szCs w:val="32"/>
        </w:rPr>
        <w:t>战略性</w:t>
      </w:r>
      <w:r>
        <w:rPr>
          <w:rFonts w:ascii="Times New Roman" w:hAnsi="Times New Roman" w:eastAsia="仿宋_GB2312" w:cs="Times New Roman"/>
          <w:sz w:val="32"/>
          <w:szCs w:val="32"/>
        </w:rPr>
        <w:t>产业集群。加强项目产业链招商，发挥我市优质水资源优势，加大招商力度，着重引进食品饮料头部企业，参与锦江水库优质水资源综合利用，共同打造大湾区水资源特色优势产业园。</w:t>
      </w:r>
      <w:r>
        <w:rPr>
          <w:rFonts w:hint="eastAsia" w:ascii="Times New Roman" w:hAnsi="Times New Roman" w:eastAsia="仿宋_GB2312" w:cs="Times New Roman"/>
          <w:sz w:val="32"/>
          <w:szCs w:val="32"/>
        </w:rPr>
        <w:t>推动恩州山泉水生产基地项目投产，巩固提升我市饮用水产业，</w:t>
      </w:r>
      <w:r>
        <w:rPr>
          <w:rFonts w:ascii="Times New Roman" w:hAnsi="Times New Roman" w:eastAsia="仿宋_GB2312" w:cs="Times New Roman"/>
          <w:sz w:val="32"/>
          <w:szCs w:val="32"/>
        </w:rPr>
        <w:t>进一步延伸饮料产业链，生产酒类、汽水、茶类等多元化产品，丰富产品系列。推动大广食品、兴宇生态农业</w:t>
      </w:r>
      <w:r>
        <w:rPr>
          <w:rFonts w:hint="eastAsia" w:ascii="Times New Roman" w:hAnsi="Times New Roman" w:eastAsia="仿宋_GB2312" w:cs="Times New Roman"/>
          <w:sz w:val="32"/>
          <w:szCs w:val="32"/>
        </w:rPr>
        <w:t>、樊佳鸭</w:t>
      </w:r>
      <w:r>
        <w:rPr>
          <w:rFonts w:ascii="Times New Roman" w:hAnsi="Times New Roman" w:eastAsia="仿宋_GB2312" w:cs="Times New Roman"/>
          <w:sz w:val="32"/>
          <w:szCs w:val="32"/>
        </w:rPr>
        <w:t>禽</w:t>
      </w:r>
      <w:r>
        <w:rPr>
          <w:rFonts w:hint="eastAsia" w:ascii="Times New Roman" w:hAnsi="Times New Roman" w:eastAsia="仿宋_GB2312" w:cs="Times New Roman"/>
          <w:sz w:val="32"/>
          <w:szCs w:val="32"/>
        </w:rPr>
        <w:t>业、鱼家汇</w:t>
      </w:r>
      <w:r>
        <w:rPr>
          <w:rFonts w:ascii="Times New Roman" w:hAnsi="Times New Roman" w:eastAsia="仿宋_GB2312" w:cs="Times New Roman"/>
          <w:sz w:val="32"/>
          <w:szCs w:val="32"/>
        </w:rPr>
        <w:t>等水产禽畜深加工行业发展。发挥RCEP作用，用好原产地政策，力争推动</w:t>
      </w:r>
      <w:r>
        <w:rPr>
          <w:rFonts w:hint="eastAsia" w:ascii="Times New Roman" w:hAnsi="Times New Roman" w:eastAsia="仿宋_GB2312" w:cs="Times New Roman"/>
          <w:sz w:val="32"/>
          <w:szCs w:val="32"/>
        </w:rPr>
        <w:t>预制菜、</w:t>
      </w:r>
      <w:r>
        <w:rPr>
          <w:rFonts w:ascii="Times New Roman" w:hAnsi="Times New Roman" w:cs="Times New Roman"/>
          <w:sz w:val="32"/>
          <w:szCs w:val="32"/>
        </w:rPr>
        <w:t>簕</w:t>
      </w:r>
      <w:r>
        <w:rPr>
          <w:rFonts w:ascii="Times New Roman" w:hAnsi="Times New Roman" w:eastAsia="仿宋_GB2312" w:cs="Times New Roman"/>
          <w:sz w:val="32"/>
          <w:szCs w:val="32"/>
        </w:rPr>
        <w:t>菜茶、恩平大米、恩平濑粉、恩平烧饼等农产品加工行业发展，逐步形成我市特色食品产业。</w:t>
      </w:r>
    </w:p>
    <w:tbl>
      <w:tblPr>
        <w:tblStyle w:val="20"/>
        <w:tblW w:w="85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8562"/>
      </w:tblGrid>
      <w:tr w14:paraId="6A467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2" w:type="dxa"/>
            <w:vAlign w:val="center"/>
          </w:tcPr>
          <w:p w14:paraId="1E09D35E">
            <w:pPr>
              <w:spacing w:line="560" w:lineRule="exact"/>
              <w:jc w:val="center"/>
              <w:rPr>
                <w:rFonts w:ascii="Times New Roman" w:hAnsi="Times New Roman" w:eastAsia="黑体" w:cs="Times New Roman"/>
                <w:bCs/>
                <w:sz w:val="28"/>
                <w:szCs w:val="28"/>
              </w:rPr>
            </w:pPr>
            <w:r>
              <w:rPr>
                <w:rFonts w:ascii="Times New Roman" w:hAnsi="Times New Roman" w:eastAsia="黑体" w:cs="Times New Roman"/>
                <w:sz w:val="28"/>
                <w:szCs w:val="28"/>
              </w:rPr>
              <w:t>专栏</w:t>
            </w:r>
            <w:r>
              <w:rPr>
                <w:rFonts w:ascii="Times New Roman" w:hAnsi="Times New Roman" w:cs="Times New Roman"/>
                <w:sz w:val="28"/>
                <w:szCs w:val="28"/>
              </w:rPr>
              <w:t>3</w:t>
            </w:r>
            <w:r>
              <w:rPr>
                <w:rFonts w:hint="eastAsia" w:ascii="Times New Roman" w:hAnsi="Times New Roman" w:eastAsia="黑体" w:cs="Times New Roman"/>
                <w:sz w:val="28"/>
                <w:szCs w:val="28"/>
              </w:rPr>
              <w:t>现代农业与食品</w:t>
            </w:r>
            <w:r>
              <w:rPr>
                <w:rFonts w:ascii="Times New Roman" w:hAnsi="Times New Roman" w:eastAsia="黑体" w:cs="Times New Roman"/>
                <w:sz w:val="28"/>
                <w:szCs w:val="28"/>
              </w:rPr>
              <w:t>产业集群发展目标与重点发展目录</w:t>
            </w:r>
          </w:p>
        </w:tc>
      </w:tr>
      <w:tr w14:paraId="3CFA6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2" w:type="dxa"/>
            <w:vAlign w:val="center"/>
          </w:tcPr>
          <w:p w14:paraId="760D910D">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一、发展目标</w:t>
            </w:r>
          </w:p>
          <w:p w14:paraId="02C9B8ED">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到2025年，</w:t>
            </w:r>
            <w:r>
              <w:rPr>
                <w:rFonts w:hint="eastAsia" w:ascii="Times New Roman" w:hAnsi="Times New Roman" w:eastAsia="仿宋_GB2312" w:cs="Times New Roman"/>
                <w:b/>
                <w:sz w:val="32"/>
                <w:szCs w:val="40"/>
              </w:rPr>
              <w:t>现代农业与食品</w:t>
            </w:r>
            <w:r>
              <w:rPr>
                <w:rFonts w:ascii="Times New Roman" w:hAnsi="Times New Roman" w:eastAsia="仿宋_GB2312" w:cs="Times New Roman"/>
                <w:sz w:val="32"/>
                <w:szCs w:val="40"/>
              </w:rPr>
              <w:t>产业集群产值规模达到</w:t>
            </w:r>
            <w:r>
              <w:rPr>
                <w:rFonts w:ascii="Times New Roman" w:hAnsi="Times New Roman" w:eastAsia="仿宋_GB2312" w:cs="Times New Roman"/>
                <w:sz w:val="32"/>
                <w:szCs w:val="40"/>
                <w:u w:val="single"/>
              </w:rPr>
              <w:t>20</w:t>
            </w:r>
            <w:r>
              <w:rPr>
                <w:rFonts w:ascii="Times New Roman" w:hAnsi="Times New Roman" w:eastAsia="仿宋_GB2312" w:cs="Times New Roman"/>
                <w:sz w:val="32"/>
                <w:szCs w:val="40"/>
              </w:rPr>
              <w:t>亿元。</w:t>
            </w:r>
          </w:p>
          <w:p w14:paraId="17B108CF">
            <w:pPr>
              <w:pStyle w:val="30"/>
              <w:numPr>
                <w:ilvl w:val="0"/>
                <w:numId w:val="1"/>
              </w:numPr>
              <w:spacing w:line="560" w:lineRule="exact"/>
              <w:ind w:firstLineChars="0"/>
              <w:rPr>
                <w:rFonts w:ascii="Times New Roman" w:hAnsi="Times New Roman" w:eastAsia="楷体" w:cs="Times New Roman"/>
                <w:b/>
                <w:bCs/>
                <w:sz w:val="28"/>
                <w:szCs w:val="28"/>
              </w:rPr>
            </w:pPr>
            <w:r>
              <w:rPr>
                <w:rFonts w:ascii="Times New Roman" w:hAnsi="Times New Roman" w:eastAsia="楷体" w:cs="Times New Roman"/>
                <w:b/>
                <w:bCs/>
                <w:sz w:val="28"/>
                <w:szCs w:val="28"/>
              </w:rPr>
              <w:t>重点发展目录</w:t>
            </w:r>
          </w:p>
          <w:p w14:paraId="54F8AF82">
            <w:pPr>
              <w:spacing w:line="560" w:lineRule="exact"/>
              <w:ind w:left="562"/>
              <w:rPr>
                <w:rFonts w:ascii="Times New Roman" w:hAnsi="Times New Roman" w:eastAsia="楷体" w:cs="Times New Roman"/>
                <w:b/>
                <w:sz w:val="28"/>
                <w:szCs w:val="28"/>
              </w:rPr>
            </w:pPr>
            <w:r>
              <w:rPr>
                <w:rFonts w:ascii="Times New Roman" w:hAnsi="Times New Roman" w:eastAsia="楷体" w:cs="Times New Roman"/>
                <w:b/>
                <w:sz w:val="28"/>
                <w:szCs w:val="28"/>
              </w:rPr>
              <w:t>1.绿色食品饮料</w:t>
            </w:r>
          </w:p>
          <w:p w14:paraId="7B596345">
            <w:pPr>
              <w:spacing w:line="560" w:lineRule="exact"/>
              <w:ind w:firstLine="627" w:firstLineChars="196"/>
              <w:rPr>
                <w:rFonts w:ascii="Times New Roman" w:hAnsi="Times New Roman" w:eastAsia="楷体" w:cs="Times New Roman"/>
                <w:b/>
                <w:sz w:val="28"/>
                <w:szCs w:val="28"/>
              </w:rPr>
            </w:pPr>
            <w:r>
              <w:rPr>
                <w:rFonts w:ascii="Times New Roman" w:hAnsi="Times New Roman" w:eastAsia="仿宋_GB2312" w:cs="Times New Roman"/>
                <w:sz w:val="32"/>
                <w:szCs w:val="40"/>
              </w:rPr>
              <w:t>——饮料：以包装饮用水、碳酸型饮料、果汁和蔬菜汁类饮料、蛋白饮料、功能饮料等为重点，做优做强包装饮用水。</w:t>
            </w:r>
          </w:p>
          <w:p w14:paraId="48FEDFD2">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——食品：</w:t>
            </w:r>
            <w:r>
              <w:rPr>
                <w:rFonts w:hint="eastAsia" w:ascii="Times New Roman" w:hAnsi="Times New Roman" w:eastAsia="仿宋_GB2312" w:cs="Times New Roman"/>
                <w:sz w:val="32"/>
                <w:szCs w:val="40"/>
              </w:rPr>
              <w:t>预制菜、</w:t>
            </w:r>
            <w:r>
              <w:rPr>
                <w:rFonts w:ascii="Times New Roman" w:hAnsi="Times New Roman" w:eastAsia="仿宋_GB2312" w:cs="Times New Roman"/>
                <w:sz w:val="32"/>
                <w:szCs w:val="40"/>
              </w:rPr>
              <w:t>罐头食品、速冻食品、保健食品、糕点面包、休闲食品、调味品、广式腊味肉制品、饲料及农副产品加工等。</w:t>
            </w:r>
          </w:p>
          <w:p w14:paraId="0A6D404F">
            <w:pPr>
              <w:spacing w:line="560" w:lineRule="exact"/>
              <w:ind w:left="562"/>
              <w:rPr>
                <w:rFonts w:ascii="Times New Roman" w:hAnsi="Times New Roman" w:eastAsia="仿宋_GB2312" w:cs="Times New Roman"/>
                <w:b/>
                <w:bCs/>
                <w:sz w:val="28"/>
                <w:szCs w:val="28"/>
              </w:rPr>
            </w:pPr>
            <w:r>
              <w:rPr>
                <w:rFonts w:ascii="Times New Roman" w:hAnsi="Times New Roman" w:eastAsia="楷体" w:cs="Times New Roman"/>
                <w:b/>
                <w:sz w:val="28"/>
                <w:szCs w:val="28"/>
              </w:rPr>
              <w:t>2.水产畜禽</w:t>
            </w:r>
          </w:p>
          <w:p w14:paraId="6CE8C9E8">
            <w:pPr>
              <w:tabs>
                <w:tab w:val="left" w:pos="312"/>
              </w:tabs>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——水产：依托鱼家汇食品等企业发展水产深加工。</w:t>
            </w:r>
          </w:p>
          <w:p w14:paraId="0ED93C4C">
            <w:pPr>
              <w:tabs>
                <w:tab w:val="left" w:pos="312"/>
              </w:tabs>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——畜禽：依托兴宇生态农业、樊佳鸭禽业等企业发展畜禽屠宰及深加工。</w:t>
            </w:r>
          </w:p>
          <w:p w14:paraId="174D2C2A">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3.特色食品</w:t>
            </w:r>
          </w:p>
          <w:p w14:paraId="51EA3BFE">
            <w:pPr>
              <w:spacing w:line="560" w:lineRule="exact"/>
              <w:ind w:firstLine="640" w:firstLineChars="200"/>
              <w:rPr>
                <w:rFonts w:ascii="Times New Roman" w:hAnsi="Times New Roman" w:eastAsia="楷体" w:cs="Times New Roman"/>
                <w:b/>
                <w:bCs/>
                <w:sz w:val="28"/>
                <w:szCs w:val="28"/>
              </w:rPr>
            </w:pPr>
            <w:r>
              <w:rPr>
                <w:rFonts w:ascii="Times New Roman" w:hAnsi="Times New Roman" w:eastAsia="仿宋_GB2312" w:cs="Times New Roman"/>
                <w:sz w:val="32"/>
                <w:szCs w:val="40"/>
              </w:rPr>
              <w:t>——特色食品：发展簕菜茶、恩平濑粉、恩平烧饼</w:t>
            </w:r>
            <w:r>
              <w:rPr>
                <w:rFonts w:hint="eastAsia" w:ascii="Times New Roman" w:hAnsi="Times New Roman" w:eastAsia="仿宋_GB2312" w:cs="Times New Roman"/>
                <w:sz w:val="32"/>
                <w:szCs w:val="40"/>
              </w:rPr>
              <w:t>、香水柠檬</w:t>
            </w:r>
            <w:r>
              <w:rPr>
                <w:rFonts w:ascii="Times New Roman" w:hAnsi="Times New Roman" w:eastAsia="仿宋_GB2312" w:cs="Times New Roman"/>
                <w:sz w:val="32"/>
                <w:szCs w:val="40"/>
              </w:rPr>
              <w:t>等具有恩平特色的粮食农副产品加工行业等。</w:t>
            </w:r>
          </w:p>
        </w:tc>
      </w:tr>
    </w:tbl>
    <w:p w14:paraId="0B34CF1B">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4、</w:t>
      </w:r>
      <w:r>
        <w:rPr>
          <w:rFonts w:hint="eastAsia" w:ascii="Times New Roman" w:hAnsi="Times New Roman" w:eastAsia="仿宋_GB2312" w:cs="Times New Roman"/>
          <w:b/>
          <w:sz w:val="32"/>
          <w:szCs w:val="40"/>
        </w:rPr>
        <w:t>先进</w:t>
      </w:r>
      <w:r>
        <w:rPr>
          <w:rFonts w:ascii="Times New Roman" w:hAnsi="Times New Roman" w:eastAsia="仿宋_GB2312" w:cs="Times New Roman"/>
          <w:b/>
          <w:sz w:val="32"/>
          <w:szCs w:val="40"/>
        </w:rPr>
        <w:t>材料</w:t>
      </w:r>
    </w:p>
    <w:p w14:paraId="19A28391">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bCs/>
          <w:sz w:val="32"/>
          <w:szCs w:val="32"/>
        </w:rPr>
        <w:t>推动先进材料产业向新能源电池前沿新材料转型。</w:t>
      </w:r>
      <w:r>
        <w:rPr>
          <w:rFonts w:ascii="Times New Roman" w:hAnsi="Times New Roman" w:eastAsia="仿宋_GB2312" w:cs="Times New Roman"/>
          <w:sz w:val="32"/>
          <w:szCs w:val="40"/>
        </w:rPr>
        <w:t>根据我市</w:t>
      </w:r>
      <w:r>
        <w:rPr>
          <w:rFonts w:hint="eastAsia" w:ascii="Times New Roman" w:hAnsi="Times New Roman" w:eastAsia="仿宋_GB2312" w:cs="Times New Roman"/>
          <w:sz w:val="32"/>
          <w:szCs w:val="40"/>
        </w:rPr>
        <w:t>先进</w:t>
      </w:r>
      <w:r>
        <w:rPr>
          <w:rFonts w:ascii="Times New Roman" w:hAnsi="Times New Roman" w:eastAsia="仿宋_GB2312" w:cs="Times New Roman"/>
          <w:sz w:val="32"/>
          <w:szCs w:val="40"/>
        </w:rPr>
        <w:t>材料产业基础，以国内外下游市场应用需求为导向，加快资源整合和集约利用，拉长延伸产业链，重点培育发展激光与增材制造材料、超细碳酸材料、装备</w:t>
      </w:r>
      <w:r>
        <w:rPr>
          <w:rFonts w:hint="eastAsia" w:ascii="Times New Roman" w:hAnsi="Times New Roman" w:eastAsia="仿宋_GB2312" w:cs="Times New Roman"/>
          <w:sz w:val="32"/>
          <w:szCs w:val="40"/>
        </w:rPr>
        <w:t>制造</w:t>
      </w:r>
      <w:r>
        <w:rPr>
          <w:rFonts w:ascii="Times New Roman" w:hAnsi="Times New Roman" w:eastAsia="仿宋_GB2312" w:cs="Times New Roman"/>
          <w:sz w:val="32"/>
          <w:szCs w:val="40"/>
        </w:rPr>
        <w:t>材料、新型建筑材料和纺织医疗材料五大</w:t>
      </w:r>
      <w:r>
        <w:rPr>
          <w:rFonts w:hint="eastAsia" w:ascii="Times New Roman" w:hAnsi="Times New Roman" w:eastAsia="仿宋_GB2312" w:cs="Times New Roman"/>
          <w:sz w:val="32"/>
          <w:szCs w:val="40"/>
        </w:rPr>
        <w:t>先进</w:t>
      </w:r>
      <w:r>
        <w:rPr>
          <w:rFonts w:ascii="Times New Roman" w:hAnsi="Times New Roman" w:eastAsia="仿宋_GB2312" w:cs="Times New Roman"/>
          <w:sz w:val="32"/>
          <w:szCs w:val="40"/>
        </w:rPr>
        <w:t>材料产业领域，培育发展</w:t>
      </w:r>
      <w:r>
        <w:rPr>
          <w:rFonts w:hint="eastAsia" w:ascii="Times New Roman" w:hAnsi="Times New Roman" w:eastAsia="仿宋_GB2312" w:cs="Times New Roman"/>
          <w:sz w:val="32"/>
          <w:szCs w:val="40"/>
        </w:rPr>
        <w:t>新能源电池</w:t>
      </w:r>
      <w:r>
        <w:rPr>
          <w:rFonts w:hint="eastAsia" w:ascii="仿宋_GB2312" w:hAnsi="仿宋_GB2312" w:eastAsia="仿宋_GB2312" w:cs="仿宋_GB2312"/>
          <w:sz w:val="32"/>
          <w:szCs w:val="32"/>
        </w:rPr>
        <w:t>导电浆料等</w:t>
      </w:r>
      <w:r>
        <w:rPr>
          <w:rFonts w:ascii="Times New Roman" w:hAnsi="Times New Roman" w:eastAsia="仿宋_GB2312" w:cs="Times New Roman"/>
          <w:sz w:val="32"/>
          <w:szCs w:val="40"/>
        </w:rPr>
        <w:t>前沿新材料领域，打造30亿级新材料产业集群。</w:t>
      </w:r>
    </w:p>
    <w:p w14:paraId="05F78C89">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40"/>
        </w:rPr>
        <w:t>激光与增材制造材料。</w:t>
      </w:r>
      <w:r>
        <w:rPr>
          <w:rFonts w:ascii="Times New Roman" w:hAnsi="Times New Roman" w:eastAsia="仿宋_GB2312" w:cs="Times New Roman"/>
          <w:sz w:val="32"/>
          <w:szCs w:val="40"/>
        </w:rPr>
        <w:t>以恩平工业园、大槐镇为重点区域，发挥智能装备产业基础优势，培育发展激光与增材制造重点细分领域，着力突破激光与增材的基础与专用材料、关键器件等关键共性技术，依托大槐智能装备产业园区的装备产业集聚优势，重点发展高性能合金复杂构件的增材制造；推动道氏技术、弘彩新材料实施技术改造扩大3D打印陶瓷墨水材料、纺织喷墨墨水材料产能，进一步把企业做强做大</w:t>
      </w:r>
      <w:r>
        <w:rPr>
          <w:rFonts w:ascii="Times New Roman" w:hAnsi="Times New Roman" w:eastAsia="仿宋_GB2312" w:cs="Times New Roman"/>
          <w:sz w:val="32"/>
          <w:szCs w:val="32"/>
        </w:rPr>
        <w:t>。</w:t>
      </w:r>
    </w:p>
    <w:p w14:paraId="2E53CE7A">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超细碳酸材料</w:t>
      </w:r>
      <w:r>
        <w:rPr>
          <w:rFonts w:ascii="Times New Roman" w:hAnsi="Times New Roman" w:eastAsia="仿宋_GB2312" w:cs="Times New Roman"/>
          <w:sz w:val="32"/>
          <w:szCs w:val="40"/>
        </w:rPr>
        <w:t>。以恩城街道办、横陂镇为重点区域，依托燕怡、汇翔、汇雄等企业，</w:t>
      </w:r>
      <w:r>
        <w:rPr>
          <w:rFonts w:ascii="Times New Roman" w:hAnsi="Times New Roman" w:eastAsia="仿宋_GB2312" w:cs="Times New Roman"/>
          <w:sz w:val="32"/>
          <w:szCs w:val="32"/>
        </w:rPr>
        <w:t>加快资源整合和集约利用，拉长延伸产业链，发展纳米碳酸钙材料，支持引导燕怡新材料等企业延伸纳米碳酸钙产业链，研究开发汽车漆、硅胴胶添加材料等纳米碳酸钙新材料。培育发展前沿新材料领域</w:t>
      </w:r>
      <w:r>
        <w:rPr>
          <w:rFonts w:hint="eastAsia" w:ascii="Times New Roman" w:hAnsi="Times New Roman" w:eastAsia="仿宋_GB2312" w:cs="Times New Roman"/>
          <w:sz w:val="32"/>
          <w:szCs w:val="32"/>
        </w:rPr>
        <w:t>，支持昊鑫新能源电池</w:t>
      </w:r>
      <w:r>
        <w:rPr>
          <w:rFonts w:hint="eastAsia" w:ascii="仿宋_GB2312" w:hAnsi="仿宋_GB2312" w:eastAsia="仿宋_GB2312" w:cs="仿宋_GB2312"/>
          <w:sz w:val="32"/>
          <w:szCs w:val="32"/>
        </w:rPr>
        <w:t>碳纳米管导电浆料等</w:t>
      </w:r>
      <w:r>
        <w:rPr>
          <w:rFonts w:ascii="Times New Roman" w:hAnsi="Times New Roman" w:eastAsia="仿宋_GB2312" w:cs="Times New Roman"/>
          <w:sz w:val="32"/>
          <w:szCs w:val="32"/>
        </w:rPr>
        <w:t>前沿新材料</w:t>
      </w:r>
      <w:r>
        <w:rPr>
          <w:rFonts w:hint="eastAsia" w:ascii="Times New Roman" w:hAnsi="Times New Roman" w:eastAsia="仿宋_GB2312" w:cs="Times New Roman"/>
          <w:sz w:val="32"/>
          <w:szCs w:val="32"/>
        </w:rPr>
        <w:t>研发生产。</w:t>
      </w:r>
      <w:r>
        <w:rPr>
          <w:rFonts w:ascii="Times New Roman" w:hAnsi="Times New Roman" w:eastAsia="仿宋_GB2312" w:cs="Times New Roman"/>
          <w:sz w:val="32"/>
          <w:szCs w:val="40"/>
        </w:rPr>
        <w:t>鼓励企业实施生产工艺改造，实现绿色化、智能化生产，提升产品竞争力。</w:t>
      </w:r>
    </w:p>
    <w:p w14:paraId="78E9D7BD">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装备</w:t>
      </w:r>
      <w:r>
        <w:rPr>
          <w:rFonts w:hint="eastAsia" w:ascii="Times New Roman" w:hAnsi="Times New Roman" w:eastAsia="仿宋_GB2312" w:cs="Times New Roman"/>
          <w:b/>
          <w:bCs/>
          <w:sz w:val="32"/>
          <w:szCs w:val="40"/>
        </w:rPr>
        <w:t>制造</w:t>
      </w:r>
      <w:r>
        <w:rPr>
          <w:rFonts w:ascii="Times New Roman" w:hAnsi="Times New Roman" w:eastAsia="仿宋_GB2312" w:cs="Times New Roman"/>
          <w:b/>
          <w:bCs/>
          <w:sz w:val="32"/>
          <w:szCs w:val="40"/>
        </w:rPr>
        <w:t>材料</w:t>
      </w:r>
      <w:r>
        <w:rPr>
          <w:rFonts w:ascii="Times New Roman" w:hAnsi="Times New Roman" w:eastAsia="仿宋_GB2312" w:cs="Times New Roman"/>
          <w:sz w:val="32"/>
          <w:szCs w:val="40"/>
        </w:rPr>
        <w:t>。以恩平工业园为重点区域，依托格雷亚特、元星、博尼通新型材料、安必成精密科技、原来科技、庆连电缆制造、科炬铝业科技、奥斯钢结构等企业项目，围绕</w:t>
      </w:r>
      <w:r>
        <w:rPr>
          <w:rFonts w:hint="eastAsia" w:ascii="Times New Roman" w:hAnsi="Times New Roman" w:eastAsia="仿宋_GB2312" w:cs="Times New Roman"/>
          <w:sz w:val="32"/>
          <w:szCs w:val="40"/>
        </w:rPr>
        <w:t>高端</w:t>
      </w:r>
      <w:r>
        <w:rPr>
          <w:rFonts w:ascii="Times New Roman" w:hAnsi="Times New Roman" w:eastAsia="仿宋_GB2312" w:cs="Times New Roman"/>
          <w:sz w:val="32"/>
          <w:szCs w:val="40"/>
        </w:rPr>
        <w:t>装备</w:t>
      </w:r>
      <w:r>
        <w:rPr>
          <w:rFonts w:hint="eastAsia" w:ascii="Times New Roman" w:hAnsi="Times New Roman" w:eastAsia="仿宋_GB2312" w:cs="Times New Roman"/>
          <w:sz w:val="32"/>
          <w:szCs w:val="40"/>
        </w:rPr>
        <w:t>制造</w:t>
      </w:r>
      <w:r>
        <w:rPr>
          <w:rFonts w:ascii="Times New Roman" w:hAnsi="Times New Roman" w:eastAsia="仿宋_GB2312" w:cs="Times New Roman"/>
          <w:sz w:val="32"/>
          <w:szCs w:val="40"/>
        </w:rPr>
        <w:t>发展需求，积极延伸金属非金属材料深加工领域，着力发展高性能密封材料、无机非金属材料、高性能高分子材料、复合材料、硅胶产品、橡胶塑料、电线电缆、电气插头引线、铝合金型材、钢结构、金属彩钢板等材料，促进产品结构向高端高附加值方向转型。</w:t>
      </w:r>
    </w:p>
    <w:p w14:paraId="29AF75A1">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纺织医疗材料</w:t>
      </w:r>
      <w:r>
        <w:rPr>
          <w:rFonts w:ascii="Times New Roman" w:hAnsi="Times New Roman" w:eastAsia="仿宋_GB2312" w:cs="Times New Roman"/>
          <w:sz w:val="32"/>
          <w:szCs w:val="40"/>
        </w:rPr>
        <w:t>。以恩平工业园、大槐镇为重点区域，围绕嘉鑫日用品、康</w:t>
      </w:r>
      <w:r>
        <w:rPr>
          <w:rFonts w:hint="eastAsia" w:ascii="Times New Roman" w:hAnsi="Times New Roman" w:eastAsia="仿宋_GB2312" w:cs="Times New Roman"/>
          <w:sz w:val="32"/>
          <w:szCs w:val="40"/>
        </w:rPr>
        <w:t>菲</w:t>
      </w:r>
      <w:r>
        <w:rPr>
          <w:rFonts w:ascii="Times New Roman" w:hAnsi="Times New Roman" w:eastAsia="仿宋_GB2312" w:cs="Times New Roman"/>
          <w:sz w:val="32"/>
          <w:szCs w:val="40"/>
        </w:rPr>
        <w:t>特医疗用品、</w:t>
      </w:r>
      <w:r>
        <w:rPr>
          <w:rFonts w:ascii="Times New Roman" w:hAnsi="Times New Roman" w:eastAsia="仿宋_GB2312" w:cs="Times New Roman"/>
          <w:sz w:val="32"/>
          <w:szCs w:val="32"/>
        </w:rPr>
        <w:t>炫丽新材料、弘丽无纺布</w:t>
      </w:r>
      <w:r>
        <w:rPr>
          <w:rFonts w:ascii="Times New Roman" w:hAnsi="Times New Roman" w:eastAsia="仿宋_GB2312" w:cs="Times New Roman"/>
          <w:sz w:val="32"/>
          <w:szCs w:val="40"/>
        </w:rPr>
        <w:t>等企业项目，大力发展功能纺织新材料、鞋材新材料、</w:t>
      </w:r>
      <w:r>
        <w:rPr>
          <w:rFonts w:ascii="Times New Roman" w:hAnsi="Times New Roman" w:eastAsia="仿宋_GB2312" w:cs="Times New Roman"/>
          <w:sz w:val="32"/>
          <w:szCs w:val="32"/>
        </w:rPr>
        <w:t>医用卫生材料、医用高分子材料和纳米水性喷墨墨水</w:t>
      </w:r>
      <w:r>
        <w:rPr>
          <w:rFonts w:ascii="Times New Roman" w:hAnsi="Times New Roman" w:eastAsia="仿宋_GB2312" w:cs="Times New Roman"/>
          <w:sz w:val="32"/>
          <w:szCs w:val="40"/>
        </w:rPr>
        <w:t>等。承接“双区”核心城市</w:t>
      </w:r>
      <w:r>
        <w:rPr>
          <w:rFonts w:ascii="Times New Roman" w:hAnsi="Times New Roman" w:eastAsia="仿宋_GB2312" w:cs="Times New Roman"/>
          <w:sz w:val="32"/>
          <w:szCs w:val="32"/>
        </w:rPr>
        <w:t>卫生</w:t>
      </w:r>
      <w:r>
        <w:rPr>
          <w:rFonts w:ascii="Times New Roman" w:hAnsi="Times New Roman" w:eastAsia="仿宋_GB2312" w:cs="Times New Roman"/>
          <w:sz w:val="32"/>
          <w:szCs w:val="40"/>
        </w:rPr>
        <w:t>材料</w:t>
      </w:r>
      <w:r>
        <w:rPr>
          <w:rFonts w:ascii="Times New Roman" w:hAnsi="Times New Roman" w:eastAsia="仿宋_GB2312" w:cs="Times New Roman"/>
          <w:bCs/>
          <w:sz w:val="32"/>
          <w:szCs w:val="32"/>
        </w:rPr>
        <w:t>和医用耗材</w:t>
      </w:r>
      <w:r>
        <w:rPr>
          <w:rFonts w:ascii="Times New Roman" w:hAnsi="Times New Roman" w:eastAsia="仿宋_GB2312" w:cs="Times New Roman"/>
          <w:sz w:val="32"/>
          <w:szCs w:val="40"/>
        </w:rPr>
        <w:t>产业转移，主动对接珠三角医疗装备产业配套需求，加大力度引进</w:t>
      </w:r>
      <w:r>
        <w:rPr>
          <w:rFonts w:ascii="Times New Roman" w:hAnsi="Times New Roman" w:eastAsia="仿宋_GB2312" w:cs="Times New Roman"/>
          <w:sz w:val="32"/>
          <w:szCs w:val="32"/>
        </w:rPr>
        <w:t>卫生</w:t>
      </w:r>
      <w:r>
        <w:rPr>
          <w:rFonts w:ascii="Times New Roman" w:hAnsi="Times New Roman" w:eastAsia="仿宋_GB2312" w:cs="Times New Roman"/>
          <w:sz w:val="32"/>
          <w:szCs w:val="40"/>
        </w:rPr>
        <w:t>材料、</w:t>
      </w:r>
      <w:r>
        <w:rPr>
          <w:rFonts w:ascii="Times New Roman" w:hAnsi="Times New Roman" w:eastAsia="仿宋_GB2312" w:cs="Times New Roman"/>
          <w:bCs/>
          <w:sz w:val="32"/>
          <w:szCs w:val="32"/>
        </w:rPr>
        <w:t>医用耗材</w:t>
      </w:r>
      <w:r>
        <w:rPr>
          <w:rFonts w:ascii="Times New Roman" w:hAnsi="Times New Roman" w:eastAsia="仿宋_GB2312" w:cs="Times New Roman"/>
          <w:sz w:val="32"/>
          <w:szCs w:val="40"/>
        </w:rPr>
        <w:t>项目。</w:t>
      </w:r>
    </w:p>
    <w:p w14:paraId="679CBD1D">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新型建筑材料</w:t>
      </w:r>
      <w:r>
        <w:rPr>
          <w:rFonts w:ascii="Times New Roman" w:hAnsi="Times New Roman" w:eastAsia="仿宋_GB2312" w:cs="Times New Roman"/>
          <w:sz w:val="32"/>
          <w:szCs w:val="40"/>
        </w:rPr>
        <w:t>。以恩平工业园、沙湖镇、横陂镇为重点区域，重点依托</w:t>
      </w:r>
      <w:r>
        <w:rPr>
          <w:rFonts w:hint="eastAsia" w:ascii="Times New Roman" w:hAnsi="Times New Roman" w:eastAsia="仿宋_GB2312" w:cs="Times New Roman"/>
          <w:sz w:val="32"/>
          <w:szCs w:val="40"/>
        </w:rPr>
        <w:t>道氏陶瓷材料</w:t>
      </w:r>
      <w:r>
        <w:rPr>
          <w:rFonts w:ascii="Times New Roman" w:hAnsi="Times New Roman" w:eastAsia="仿宋_GB2312" w:cs="Times New Roman"/>
          <w:sz w:val="32"/>
          <w:szCs w:val="40"/>
        </w:rPr>
        <w:t>企业项目发展</w:t>
      </w:r>
      <w:r>
        <w:rPr>
          <w:rFonts w:ascii="Times New Roman" w:hAnsi="Times New Roman" w:eastAsia="仿宋_GB2312" w:cs="Times New Roman"/>
          <w:sz w:val="32"/>
          <w:szCs w:val="32"/>
        </w:rPr>
        <w:t>无机非金属釉面材料、</w:t>
      </w:r>
      <w:r>
        <w:rPr>
          <w:rFonts w:ascii="Times New Roman" w:hAnsi="Times New Roman" w:eastAsia="仿宋_GB2312" w:cs="Times New Roman"/>
          <w:sz w:val="32"/>
          <w:szCs w:val="40"/>
        </w:rPr>
        <w:t>陶瓷</w:t>
      </w:r>
      <w:r>
        <w:rPr>
          <w:rFonts w:ascii="Times New Roman" w:hAnsi="Times New Roman" w:eastAsia="仿宋_GB2312" w:cs="Times New Roman"/>
          <w:sz w:val="32"/>
          <w:szCs w:val="32"/>
        </w:rPr>
        <w:t>墨水、建筑陶瓷釉面材料、</w:t>
      </w:r>
      <w:r>
        <w:rPr>
          <w:rFonts w:ascii="Times New Roman" w:hAnsi="Times New Roman" w:eastAsia="仿宋_GB2312" w:cs="Times New Roman"/>
          <w:sz w:val="32"/>
          <w:szCs w:val="40"/>
        </w:rPr>
        <w:t>陶瓷色釉料及原辅料、陶瓷添加剂。依托建筑陶瓷产业基础，发展新型建筑材料，推动装饰陶瓷提档升级，培育发展新型陶瓷和特种陶瓷产品。推动现有华新水泥企业提升高标号水泥、特种水泥和专用水泥产品比重，发展混凝土部品等水泥基建筑部品部件。</w:t>
      </w:r>
    </w:p>
    <w:tbl>
      <w:tblPr>
        <w:tblStyle w:val="20"/>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14:paraId="595F2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14:paraId="5FFE6527">
            <w:pPr>
              <w:spacing w:line="560" w:lineRule="exact"/>
              <w:jc w:val="center"/>
              <w:rPr>
                <w:rFonts w:ascii="Times New Roman" w:hAnsi="Times New Roman" w:eastAsia="黑体" w:cs="Times New Roman"/>
                <w:bCs/>
                <w:sz w:val="28"/>
                <w:szCs w:val="28"/>
              </w:rPr>
            </w:pPr>
            <w:r>
              <w:rPr>
                <w:rFonts w:ascii="Times New Roman" w:hAnsi="Times New Roman" w:eastAsia="黑体" w:cs="Times New Roman"/>
                <w:sz w:val="28"/>
                <w:szCs w:val="28"/>
              </w:rPr>
              <w:t>专栏</w:t>
            </w:r>
            <w:r>
              <w:rPr>
                <w:rFonts w:ascii="Times New Roman" w:hAnsi="Times New Roman" w:cs="Times New Roman"/>
                <w:sz w:val="28"/>
                <w:szCs w:val="28"/>
              </w:rPr>
              <w:t>4</w:t>
            </w:r>
            <w:r>
              <w:rPr>
                <w:rFonts w:hint="eastAsia" w:ascii="Times New Roman" w:hAnsi="Times New Roman" w:eastAsia="黑体" w:cs="Times New Roman"/>
                <w:sz w:val="28"/>
                <w:szCs w:val="28"/>
              </w:rPr>
              <w:t>先进</w:t>
            </w:r>
            <w:r>
              <w:rPr>
                <w:rFonts w:ascii="Times New Roman" w:hAnsi="Times New Roman" w:eastAsia="黑体" w:cs="Times New Roman"/>
                <w:sz w:val="28"/>
                <w:szCs w:val="28"/>
              </w:rPr>
              <w:t>材料产业集群发展目标与重点发展目录</w:t>
            </w:r>
          </w:p>
        </w:tc>
      </w:tr>
      <w:tr w14:paraId="7A2E0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14:paraId="575E77B4">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一、发展目标</w:t>
            </w:r>
          </w:p>
          <w:p w14:paraId="1C828B59">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到2025年，</w:t>
            </w:r>
            <w:r>
              <w:rPr>
                <w:rFonts w:hint="eastAsia" w:ascii="Times New Roman" w:hAnsi="Times New Roman" w:eastAsia="仿宋_GB2312" w:cs="Times New Roman"/>
                <w:sz w:val="32"/>
                <w:szCs w:val="40"/>
              </w:rPr>
              <w:t>先进</w:t>
            </w:r>
            <w:r>
              <w:rPr>
                <w:rFonts w:ascii="Times New Roman" w:hAnsi="Times New Roman" w:eastAsia="仿宋_GB2312" w:cs="Times New Roman"/>
                <w:sz w:val="32"/>
                <w:szCs w:val="40"/>
              </w:rPr>
              <w:t>材料产业集群产值规模达到</w:t>
            </w:r>
            <w:r>
              <w:rPr>
                <w:rFonts w:ascii="Times New Roman" w:hAnsi="Times New Roman" w:eastAsia="仿宋_GB2312" w:cs="Times New Roman"/>
                <w:sz w:val="32"/>
                <w:szCs w:val="40"/>
                <w:u w:val="single"/>
              </w:rPr>
              <w:t>3</w:t>
            </w:r>
            <w:r>
              <w:rPr>
                <w:rFonts w:hint="eastAsia" w:ascii="Times New Roman" w:hAnsi="Times New Roman" w:eastAsia="仿宋_GB2312" w:cs="Times New Roman"/>
                <w:sz w:val="32"/>
                <w:szCs w:val="40"/>
                <w:u w:val="single"/>
              </w:rPr>
              <w:t>5</w:t>
            </w:r>
            <w:r>
              <w:rPr>
                <w:rFonts w:ascii="Times New Roman" w:hAnsi="Times New Roman" w:eastAsia="仿宋_GB2312" w:cs="Times New Roman"/>
                <w:sz w:val="32"/>
                <w:szCs w:val="40"/>
              </w:rPr>
              <w:t>亿元。</w:t>
            </w:r>
          </w:p>
          <w:p w14:paraId="2EE01688">
            <w:pPr>
              <w:spacing w:line="560" w:lineRule="exact"/>
              <w:ind w:firstLine="551" w:firstLineChars="196"/>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二、</w:t>
            </w:r>
            <w:r>
              <w:rPr>
                <w:rFonts w:ascii="Times New Roman" w:hAnsi="Times New Roman" w:eastAsia="楷体" w:cs="Times New Roman"/>
                <w:b/>
                <w:bCs/>
                <w:sz w:val="28"/>
                <w:szCs w:val="28"/>
              </w:rPr>
              <w:t>重点发展目录</w:t>
            </w:r>
          </w:p>
          <w:p w14:paraId="7784D775">
            <w:pPr>
              <w:spacing w:line="560" w:lineRule="exact"/>
              <w:ind w:left="562"/>
              <w:rPr>
                <w:rFonts w:ascii="Times New Roman" w:hAnsi="Times New Roman" w:eastAsia="楷体" w:cs="Times New Roman"/>
                <w:b/>
                <w:sz w:val="28"/>
                <w:szCs w:val="28"/>
              </w:rPr>
            </w:pPr>
            <w:r>
              <w:rPr>
                <w:rFonts w:ascii="Times New Roman" w:hAnsi="Times New Roman" w:eastAsia="楷体" w:cs="Times New Roman"/>
                <w:b/>
                <w:sz w:val="28"/>
                <w:szCs w:val="28"/>
              </w:rPr>
              <w:t>1.激光与增材制造材料</w:t>
            </w:r>
          </w:p>
          <w:p w14:paraId="0C4E6306">
            <w:pPr>
              <w:spacing w:line="560" w:lineRule="exact"/>
              <w:ind w:firstLine="627" w:firstLineChars="196"/>
              <w:rPr>
                <w:rFonts w:ascii="Times New Roman" w:hAnsi="Times New Roman" w:eastAsia="楷体" w:cs="Times New Roman"/>
                <w:b/>
                <w:sz w:val="28"/>
                <w:szCs w:val="28"/>
              </w:rPr>
            </w:pPr>
            <w:r>
              <w:rPr>
                <w:rFonts w:ascii="Times New Roman" w:hAnsi="Times New Roman" w:eastAsia="仿宋_GB2312" w:cs="Times New Roman"/>
                <w:sz w:val="32"/>
                <w:szCs w:val="40"/>
              </w:rPr>
              <w:t>——激光与增材制造材料：激光材料、高性能合金复杂构件的增材制造专用材料，3D打印机、3D打印陶瓷墨水、3D打印纺织墨水、高性能打印材料等。</w:t>
            </w:r>
          </w:p>
          <w:p w14:paraId="7816E74D">
            <w:pPr>
              <w:spacing w:line="560" w:lineRule="exact"/>
              <w:ind w:left="562"/>
              <w:rPr>
                <w:rFonts w:ascii="Times New Roman" w:hAnsi="Times New Roman" w:eastAsia="楷体" w:cs="Times New Roman"/>
                <w:b/>
                <w:sz w:val="28"/>
                <w:szCs w:val="28"/>
              </w:rPr>
            </w:pPr>
            <w:r>
              <w:rPr>
                <w:rFonts w:ascii="Times New Roman" w:hAnsi="Times New Roman" w:eastAsia="楷体" w:cs="Times New Roman"/>
                <w:b/>
                <w:sz w:val="28"/>
                <w:szCs w:val="28"/>
              </w:rPr>
              <w:t>2.超细碳酸材料。</w:t>
            </w:r>
          </w:p>
          <w:p w14:paraId="37A6E405">
            <w:pPr>
              <w:spacing w:line="560" w:lineRule="exact"/>
              <w:ind w:firstLine="627" w:firstLineChars="196"/>
              <w:rPr>
                <w:rFonts w:ascii="Times New Roman" w:hAnsi="Times New Roman" w:eastAsia="仿宋_GB2312" w:cs="Times New Roman"/>
                <w:sz w:val="32"/>
                <w:szCs w:val="40"/>
              </w:rPr>
            </w:pPr>
            <w:r>
              <w:rPr>
                <w:rFonts w:ascii="Times New Roman" w:hAnsi="Times New Roman" w:eastAsia="仿宋_GB2312" w:cs="Times New Roman"/>
                <w:sz w:val="32"/>
                <w:szCs w:val="40"/>
              </w:rPr>
              <w:t>——超细碳酸材料：超细碳酸钙、功能涂料、汽车漆、硅胴胶添加材料等纳米碳酸钙新材料</w:t>
            </w:r>
            <w:r>
              <w:rPr>
                <w:rFonts w:hint="eastAsia" w:ascii="Times New Roman" w:hAnsi="Times New Roman" w:eastAsia="仿宋_GB2312" w:cs="Times New Roman"/>
                <w:sz w:val="32"/>
                <w:szCs w:val="40"/>
              </w:rPr>
              <w:t>，新能源</w:t>
            </w:r>
            <w:r>
              <w:rPr>
                <w:rFonts w:hint="eastAsia" w:ascii="Times New Roman" w:hAnsi="Times New Roman" w:eastAsia="仿宋_GB2312" w:cs="Times New Roman"/>
                <w:sz w:val="32"/>
                <w:szCs w:val="32"/>
              </w:rPr>
              <w:t>电池</w:t>
            </w:r>
            <w:r>
              <w:rPr>
                <w:rFonts w:hint="eastAsia" w:ascii="仿宋_GB2312" w:hAnsi="仿宋_GB2312" w:eastAsia="仿宋_GB2312" w:cs="仿宋_GB2312"/>
                <w:sz w:val="32"/>
                <w:szCs w:val="32"/>
              </w:rPr>
              <w:t>碳纳米管导电浆料等</w:t>
            </w:r>
            <w:r>
              <w:rPr>
                <w:rFonts w:ascii="Times New Roman" w:hAnsi="Times New Roman" w:eastAsia="仿宋_GB2312" w:cs="Times New Roman"/>
                <w:sz w:val="32"/>
                <w:szCs w:val="32"/>
              </w:rPr>
              <w:t>前沿新材料</w:t>
            </w:r>
            <w:r>
              <w:rPr>
                <w:rFonts w:ascii="Times New Roman" w:hAnsi="Times New Roman" w:eastAsia="仿宋_GB2312" w:cs="Times New Roman"/>
                <w:sz w:val="32"/>
                <w:szCs w:val="40"/>
              </w:rPr>
              <w:t>。</w:t>
            </w:r>
          </w:p>
          <w:p w14:paraId="5562ADD9">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3.装备</w:t>
            </w:r>
            <w:r>
              <w:rPr>
                <w:rFonts w:hint="eastAsia" w:ascii="Times New Roman" w:hAnsi="Times New Roman" w:eastAsia="楷体" w:cs="Times New Roman"/>
                <w:b/>
                <w:bCs/>
                <w:sz w:val="28"/>
                <w:szCs w:val="28"/>
              </w:rPr>
              <w:t>制造</w:t>
            </w:r>
            <w:r>
              <w:rPr>
                <w:rFonts w:ascii="Times New Roman" w:hAnsi="Times New Roman" w:eastAsia="楷体" w:cs="Times New Roman"/>
                <w:b/>
                <w:bCs/>
                <w:sz w:val="28"/>
                <w:szCs w:val="28"/>
              </w:rPr>
              <w:t>材料。</w:t>
            </w:r>
          </w:p>
          <w:p w14:paraId="4641FB55">
            <w:pPr>
              <w:tabs>
                <w:tab w:val="left" w:pos="312"/>
              </w:tabs>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——非金属材料：高性能密封材料、无机非金属材料、高性能高分子材料、复合材料、硅胶产品、橡胶塑料、电线电缆、电气插头引线、工程塑料合金等。</w:t>
            </w:r>
          </w:p>
          <w:p w14:paraId="6EFB91A6">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——金属材料：高性能铝合金、铝合金型材、高性能铜合金、镁合金、贵金属、钛及钛合金、钢结构、金属彩钢板等。</w:t>
            </w:r>
          </w:p>
          <w:p w14:paraId="455999C7">
            <w:pPr>
              <w:spacing w:line="560" w:lineRule="exact"/>
              <w:ind w:firstLine="551" w:firstLineChars="196"/>
              <w:rPr>
                <w:rFonts w:ascii="Times New Roman" w:hAnsi="Times New Roman" w:eastAsia="楷体" w:cs="Times New Roman"/>
                <w:bCs/>
                <w:sz w:val="28"/>
                <w:szCs w:val="28"/>
              </w:rPr>
            </w:pPr>
            <w:r>
              <w:rPr>
                <w:rFonts w:ascii="Times New Roman" w:hAnsi="Times New Roman" w:eastAsia="楷体" w:cs="Times New Roman"/>
                <w:b/>
                <w:sz w:val="28"/>
                <w:szCs w:val="28"/>
              </w:rPr>
              <w:t>4.纺织医疗材料。</w:t>
            </w:r>
          </w:p>
          <w:p w14:paraId="22D0D354">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——纺织材料：纺织印染绿色助剂、纳米水性喷墨墨水、高端产业用纺织品、功能纺织新材料、医用无纺布、熔喷布、无纺布鞋料面料、保健鞋垫、无车缝鞋面等。</w:t>
            </w:r>
          </w:p>
          <w:p w14:paraId="5F419186">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——医疗材料：医用卫生材料及敷料、医用高分子材料及制品、医用口罩、防护口罩、消毒酒精片、消毒湿巾、卸妆湿巾等。</w:t>
            </w:r>
          </w:p>
          <w:p w14:paraId="088D6CD6">
            <w:pPr>
              <w:spacing w:line="560" w:lineRule="exact"/>
              <w:ind w:firstLine="551" w:firstLineChars="196"/>
              <w:rPr>
                <w:rFonts w:ascii="Times New Roman" w:hAnsi="Times New Roman" w:eastAsia="楷体" w:cs="Times New Roman"/>
                <w:b/>
                <w:sz w:val="28"/>
                <w:szCs w:val="28"/>
              </w:rPr>
            </w:pPr>
            <w:r>
              <w:rPr>
                <w:rFonts w:ascii="Times New Roman" w:hAnsi="Times New Roman" w:eastAsia="楷体" w:cs="Times New Roman"/>
                <w:b/>
                <w:sz w:val="28"/>
                <w:szCs w:val="28"/>
              </w:rPr>
              <w:t>5.新型建筑材料。</w:t>
            </w:r>
          </w:p>
          <w:p w14:paraId="45877792">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——建筑陶瓷材料：渗花陶瓷墨水、溶剂型陶瓷墨水、仿金属釉材料、全抛釉材料、干粉釉材料、玻璃幕墙粘贴材料等。</w:t>
            </w:r>
          </w:p>
          <w:p w14:paraId="156B2383">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——高端陶瓷：新型陶瓷岩板、大板块陶瓷砖、新型陶瓷和特种陶瓷产品等。</w:t>
            </w:r>
          </w:p>
          <w:p w14:paraId="60C8A429">
            <w:pPr>
              <w:spacing w:line="560" w:lineRule="exact"/>
              <w:ind w:firstLine="640" w:firstLineChars="200"/>
              <w:rPr>
                <w:rFonts w:ascii="Times New Roman" w:hAnsi="Times New Roman" w:eastAsia="楷体" w:cs="Times New Roman"/>
                <w:bCs/>
                <w:sz w:val="28"/>
                <w:szCs w:val="28"/>
              </w:rPr>
            </w:pPr>
            <w:r>
              <w:rPr>
                <w:rFonts w:ascii="Times New Roman" w:hAnsi="Times New Roman" w:eastAsia="仿宋_GB2312" w:cs="Times New Roman"/>
                <w:sz w:val="32"/>
                <w:szCs w:val="40"/>
              </w:rPr>
              <w:t>——高端水泥：高标号水泥、特种水泥和专用水泥产品等。</w:t>
            </w:r>
          </w:p>
        </w:tc>
      </w:tr>
    </w:tbl>
    <w:p w14:paraId="6985E079">
      <w:pPr>
        <w:spacing w:line="560" w:lineRule="exact"/>
        <w:ind w:firstLine="643" w:firstLineChars="200"/>
        <w:outlineLvl w:val="1"/>
        <w:rPr>
          <w:rFonts w:ascii="Times New Roman" w:hAnsi="Times New Roman" w:eastAsia="楷体_GB2312" w:cs="Times New Roman"/>
          <w:b/>
          <w:bCs/>
          <w:sz w:val="32"/>
          <w:szCs w:val="40"/>
        </w:rPr>
      </w:pPr>
      <w:bookmarkStart w:id="66" w:name="_Toc51589564"/>
      <w:bookmarkStart w:id="67" w:name="_Toc167288472"/>
      <w:bookmarkStart w:id="68" w:name="_Toc18895"/>
      <w:bookmarkStart w:id="69" w:name="_Toc30630"/>
      <w:r>
        <w:rPr>
          <w:rFonts w:ascii="Times New Roman" w:hAnsi="Times New Roman" w:eastAsia="楷体_GB2312" w:cs="Times New Roman"/>
          <w:b/>
          <w:bCs/>
          <w:sz w:val="32"/>
          <w:szCs w:val="40"/>
        </w:rPr>
        <w:t>（二）巩固提升二个特色优势产业集群</w:t>
      </w:r>
      <w:bookmarkEnd w:id="66"/>
      <w:bookmarkEnd w:id="67"/>
      <w:bookmarkEnd w:id="68"/>
      <w:bookmarkEnd w:id="69"/>
    </w:p>
    <w:p w14:paraId="7CF84A8C">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1、建筑陶瓷</w:t>
      </w:r>
    </w:p>
    <w:p w14:paraId="2F95F5F0">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依托现有建筑陶瓷产业，实施“煤改气”节能减排，通过</w:t>
      </w:r>
      <w:r>
        <w:rPr>
          <w:rFonts w:hint="eastAsia" w:ascii="Times New Roman" w:hAnsi="Times New Roman" w:eastAsia="仿宋_GB2312" w:cs="Times New Roman"/>
          <w:sz w:val="32"/>
          <w:szCs w:val="40"/>
        </w:rPr>
        <w:t>数字化、智能化</w:t>
      </w:r>
      <w:r>
        <w:rPr>
          <w:rFonts w:ascii="Times New Roman" w:hAnsi="Times New Roman" w:eastAsia="仿宋_GB2312" w:cs="Times New Roman"/>
          <w:sz w:val="32"/>
          <w:szCs w:val="40"/>
        </w:rPr>
        <w:t>技术改造，推动现有陶瓷企业提档升级，由传统建筑陶瓷等低端加工领域向研发设计、品牌创建、高端装饰等精深加工和高附加值应用领域转型。</w:t>
      </w:r>
    </w:p>
    <w:p w14:paraId="1B940636">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32"/>
        </w:rPr>
        <w:t>以沙湖镇、横陂镇为重点区域，</w:t>
      </w:r>
      <w:r>
        <w:rPr>
          <w:rFonts w:ascii="Times New Roman" w:hAnsi="Times New Roman" w:eastAsia="仿宋_GB2312" w:cs="Times New Roman"/>
          <w:sz w:val="32"/>
          <w:szCs w:val="40"/>
        </w:rPr>
        <w:t>打造优质建筑陶瓷产业集群，依托百强、新锦成、全圣</w:t>
      </w:r>
      <w:r>
        <w:rPr>
          <w:rFonts w:hint="eastAsia" w:ascii="Times New Roman" w:hAnsi="Times New Roman" w:eastAsia="仿宋_GB2312" w:cs="Times New Roman"/>
          <w:sz w:val="32"/>
          <w:szCs w:val="40"/>
        </w:rPr>
        <w:t>、祥达</w:t>
      </w:r>
      <w:r>
        <w:rPr>
          <w:rFonts w:ascii="Times New Roman" w:hAnsi="Times New Roman" w:eastAsia="仿宋_GB2312" w:cs="Times New Roman"/>
          <w:sz w:val="32"/>
          <w:szCs w:val="40"/>
        </w:rPr>
        <w:t>等龙头陶瓷企业，围绕装饰化、个性化、一体化等消费需求，提升设计和智能化制造水平，研发生产具有环保、抗污、抗菌等特殊功能的陶瓷岩板、大板陶瓷砖等高端建筑陶瓷产品和高档智能厨卫产品。加快推动陶瓷企业从原材料供应、成品加工等环节向产品设计、技术研发、质量检测、成套技术集成等高附加价值环节转型升级。推动陶瓷产业</w:t>
      </w:r>
      <w:r>
        <w:rPr>
          <w:rFonts w:hint="eastAsia" w:ascii="Times New Roman" w:hAnsi="Times New Roman" w:eastAsia="仿宋_GB2312" w:cs="Times New Roman"/>
          <w:sz w:val="32"/>
          <w:szCs w:val="40"/>
        </w:rPr>
        <w:t>节</w:t>
      </w:r>
      <w:r>
        <w:rPr>
          <w:rFonts w:ascii="Times New Roman" w:hAnsi="Times New Roman" w:eastAsia="仿宋_GB2312" w:cs="Times New Roman"/>
          <w:sz w:val="32"/>
          <w:szCs w:val="40"/>
        </w:rPr>
        <w:t>能减排、绿色低碳发展。强化陶瓷产业链建设，培育发展陶瓷机械装备、陶瓷包装和陶瓷配套市场。鼓励企业兼并重组做强做大，开展陶瓷自主品牌的商标注册，创建著名品牌，提升区域品牌的影响力。</w:t>
      </w:r>
    </w:p>
    <w:tbl>
      <w:tblPr>
        <w:tblStyle w:val="20"/>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14:paraId="6E95C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14:paraId="1926CB56">
            <w:pPr>
              <w:spacing w:line="560" w:lineRule="exact"/>
              <w:jc w:val="center"/>
              <w:rPr>
                <w:rFonts w:ascii="Times New Roman" w:hAnsi="Times New Roman" w:eastAsia="黑体" w:cs="Times New Roman"/>
                <w:bCs/>
                <w:sz w:val="28"/>
                <w:szCs w:val="28"/>
              </w:rPr>
            </w:pPr>
            <w:r>
              <w:rPr>
                <w:rFonts w:ascii="Times New Roman" w:hAnsi="Times New Roman" w:eastAsia="黑体" w:cs="Times New Roman"/>
                <w:sz w:val="28"/>
                <w:szCs w:val="28"/>
              </w:rPr>
              <w:t>专栏5建筑陶瓷产业集群发展目标与重点发展目录</w:t>
            </w:r>
          </w:p>
        </w:tc>
      </w:tr>
      <w:tr w14:paraId="6F20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14:paraId="222860F3">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一、发展目标</w:t>
            </w:r>
          </w:p>
          <w:p w14:paraId="4348DA85">
            <w:pPr>
              <w:spacing w:line="560" w:lineRule="exact"/>
              <w:ind w:firstLine="640" w:firstLineChars="200"/>
              <w:rPr>
                <w:rFonts w:ascii="Times New Roman" w:hAnsi="Times New Roman" w:cs="Times New Roman" w:eastAsiaTheme="minorEastAsia"/>
                <w:bCs/>
                <w:sz w:val="28"/>
                <w:szCs w:val="28"/>
              </w:rPr>
            </w:pPr>
            <w:r>
              <w:rPr>
                <w:rFonts w:ascii="Times New Roman" w:hAnsi="Times New Roman" w:eastAsia="仿宋_GB2312" w:cs="Times New Roman"/>
                <w:sz w:val="32"/>
                <w:szCs w:val="40"/>
              </w:rPr>
              <w:t>到2025年，建筑陶瓷产业</w:t>
            </w:r>
            <w:r>
              <w:rPr>
                <w:rFonts w:hint="eastAsia" w:ascii="Times New Roman" w:hAnsi="Times New Roman" w:eastAsia="仿宋_GB2312" w:cs="Times New Roman"/>
                <w:sz w:val="32"/>
                <w:szCs w:val="40"/>
              </w:rPr>
              <w:t>集群</w:t>
            </w:r>
            <w:r>
              <w:rPr>
                <w:rFonts w:ascii="Times New Roman" w:hAnsi="Times New Roman" w:eastAsia="仿宋_GB2312" w:cs="Times New Roman"/>
                <w:sz w:val="32"/>
                <w:szCs w:val="40"/>
              </w:rPr>
              <w:t>产值规模达到</w:t>
            </w:r>
            <w:r>
              <w:rPr>
                <w:rFonts w:hint="eastAsia" w:ascii="Times New Roman" w:hAnsi="Times New Roman" w:eastAsia="仿宋_GB2312" w:cs="Times New Roman"/>
                <w:sz w:val="32"/>
                <w:szCs w:val="40"/>
                <w:u w:val="single"/>
              </w:rPr>
              <w:t>70</w:t>
            </w:r>
            <w:r>
              <w:rPr>
                <w:rFonts w:ascii="Times New Roman" w:hAnsi="Times New Roman" w:eastAsia="仿宋_GB2312" w:cs="Times New Roman"/>
                <w:sz w:val="32"/>
                <w:szCs w:val="40"/>
              </w:rPr>
              <w:t>亿元。</w:t>
            </w:r>
          </w:p>
          <w:p w14:paraId="7CFB2356">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二、重点发展目录</w:t>
            </w:r>
          </w:p>
          <w:p w14:paraId="05260609">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1.建筑陶瓷。</w:t>
            </w:r>
          </w:p>
          <w:p w14:paraId="5682B3DD">
            <w:pPr>
              <w:spacing w:line="560" w:lineRule="exact"/>
              <w:ind w:firstLine="640" w:firstLineChars="200"/>
              <w:rPr>
                <w:rFonts w:ascii="Times New Roman" w:hAnsi="Times New Roman" w:cs="Times New Roman" w:eastAsiaTheme="minorEastAsia"/>
                <w:sz w:val="28"/>
                <w:szCs w:val="28"/>
              </w:rPr>
            </w:pPr>
            <w:r>
              <w:rPr>
                <w:rFonts w:ascii="Times New Roman" w:hAnsi="Times New Roman" w:eastAsia="仿宋_GB2312" w:cs="Times New Roman"/>
                <w:sz w:val="32"/>
                <w:szCs w:val="40"/>
              </w:rPr>
              <w:t>——建筑陶瓷：重点提升产品质量、创新能力和原创设计能力，发展高端设计、具有品牌效应的陶瓷产品，推动成套技术和集成控制系统发展；充分结合信息技术与智能制造发展方向，重点发展应用“5G+工业互联网”、工业智能控制系统、工业自动化系统、机器人（机械手）等工业智能化技术，发展新型陶瓷岩板、大板陶瓷砖、新型陶瓷和特种陶瓷产品及集厅房、卫生间、厨房等为一体的整体装饰空间。</w:t>
            </w:r>
          </w:p>
        </w:tc>
      </w:tr>
    </w:tbl>
    <w:p w14:paraId="4CA41187">
      <w:pPr>
        <w:spacing w:line="560" w:lineRule="exact"/>
        <w:ind w:firstLine="643" w:firstLineChars="200"/>
        <w:outlineLvl w:val="2"/>
        <w:rPr>
          <w:rFonts w:ascii="Times New Roman" w:hAnsi="Times New Roman" w:eastAsia="仿宋_GB2312" w:cs="Times New Roman"/>
          <w:b/>
          <w:sz w:val="32"/>
          <w:szCs w:val="40"/>
        </w:rPr>
      </w:pPr>
      <w:bookmarkStart w:id="70" w:name="_Hlk48655112"/>
      <w:r>
        <w:rPr>
          <w:rFonts w:ascii="Times New Roman" w:hAnsi="Times New Roman" w:eastAsia="仿宋_GB2312" w:cs="Times New Roman"/>
          <w:b/>
          <w:sz w:val="32"/>
          <w:szCs w:val="40"/>
        </w:rPr>
        <w:t>2、纺织服装</w:t>
      </w:r>
    </w:p>
    <w:p w14:paraId="61D4EC68">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构建补强纺织产业链、着力完善纺—织—染整—服装产业链建设，重点发展高档纺织面料、纺织制品和成衣产品，增强针织织布能力，巩固纺织棉纱、高档西装纺织物，针织仿梭织织物等纺织优势。强化纺织服装产业链建设，推动生产环节和设备的智能化、数字化和自动化水平。</w:t>
      </w:r>
      <w:bookmarkEnd w:id="70"/>
      <w:r>
        <w:rPr>
          <w:rFonts w:ascii="Times New Roman" w:hAnsi="Times New Roman" w:eastAsia="仿宋_GB2312" w:cs="Times New Roman"/>
          <w:sz w:val="32"/>
          <w:szCs w:val="40"/>
        </w:rPr>
        <w:t>推动纺织产业绿色低碳发展，实施</w:t>
      </w:r>
      <w:r>
        <w:rPr>
          <w:rFonts w:ascii="Times New Roman" w:hAnsi="Times New Roman" w:eastAsia="仿宋_GB2312" w:cs="Times New Roman"/>
          <w:kern w:val="0"/>
          <w:sz w:val="32"/>
          <w:szCs w:val="32"/>
        </w:rPr>
        <w:t>数码印花、</w:t>
      </w:r>
      <w:r>
        <w:rPr>
          <w:rFonts w:ascii="Times New Roman" w:hAnsi="Times New Roman" w:eastAsia="仿宋_GB2312" w:cs="Times New Roman"/>
          <w:sz w:val="32"/>
          <w:szCs w:val="40"/>
        </w:rPr>
        <w:t>中水回收、余热利用等节能减排技术改造项目，促进纺织服装产业</w:t>
      </w:r>
      <w:r>
        <w:rPr>
          <w:rFonts w:hint="eastAsia" w:ascii="Times New Roman" w:hAnsi="Times New Roman" w:eastAsia="仿宋_GB2312" w:cs="Times New Roman"/>
          <w:sz w:val="32"/>
          <w:szCs w:val="40"/>
        </w:rPr>
        <w:t>转型升级</w:t>
      </w:r>
      <w:r>
        <w:rPr>
          <w:rFonts w:ascii="Times New Roman" w:hAnsi="Times New Roman" w:eastAsia="仿宋_GB2312" w:cs="Times New Roman"/>
          <w:sz w:val="32"/>
          <w:szCs w:val="40"/>
        </w:rPr>
        <w:t>。</w:t>
      </w:r>
    </w:p>
    <w:p w14:paraId="5914DE93">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纺织面料</w:t>
      </w:r>
      <w:r>
        <w:rPr>
          <w:rFonts w:ascii="Times New Roman" w:hAnsi="Times New Roman" w:eastAsia="仿宋_GB2312" w:cs="Times New Roman"/>
          <w:sz w:val="32"/>
          <w:szCs w:val="40"/>
        </w:rPr>
        <w:t>。</w:t>
      </w:r>
      <w:r>
        <w:rPr>
          <w:rFonts w:ascii="Times New Roman" w:hAnsi="Times New Roman" w:eastAsia="仿宋_GB2312" w:cs="Times New Roman"/>
          <w:sz w:val="32"/>
          <w:szCs w:val="32"/>
        </w:rPr>
        <w:t>以恩平工业园、君堂镇和恩城街道办为重点区域，</w:t>
      </w:r>
      <w:r>
        <w:rPr>
          <w:rFonts w:ascii="Times New Roman" w:hAnsi="Times New Roman" w:eastAsia="仿宋_GB2312" w:cs="Times New Roman"/>
          <w:sz w:val="32"/>
          <w:szCs w:val="40"/>
        </w:rPr>
        <w:t>依托锦兴纺织、添盛染整、盈进染织等龙头企业，加强本地纺织服装产业链整合，建设具有恩平特色的纺织材料产业集群。支持高产、节能新型纺纱、织造工艺技术和新型染色、印花、自动控制及在线监测等新技术的应用，推进制造设备、辅助设备数字化，提高自动化生产效率。</w:t>
      </w:r>
    </w:p>
    <w:p w14:paraId="712E3A40">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纺织制品</w:t>
      </w:r>
      <w:r>
        <w:rPr>
          <w:rFonts w:ascii="Times New Roman" w:hAnsi="Times New Roman" w:eastAsia="仿宋_GB2312" w:cs="Times New Roman"/>
          <w:sz w:val="32"/>
          <w:szCs w:val="40"/>
        </w:rPr>
        <w:t>。</w:t>
      </w:r>
      <w:r>
        <w:rPr>
          <w:rFonts w:ascii="Times New Roman" w:hAnsi="Times New Roman" w:eastAsia="仿宋_GB2312" w:cs="Times New Roman"/>
          <w:sz w:val="32"/>
          <w:szCs w:val="32"/>
        </w:rPr>
        <w:t>以恩平工业园、君堂镇和沙湖镇为重点区域，</w:t>
      </w:r>
      <w:r>
        <w:rPr>
          <w:rFonts w:ascii="Times New Roman" w:hAnsi="Times New Roman" w:eastAsia="仿宋_GB2312" w:cs="Times New Roman"/>
          <w:sz w:val="32"/>
          <w:szCs w:val="40"/>
        </w:rPr>
        <w:t>支持意丹华服装、奕马企业、新世纪内衣、</w:t>
      </w:r>
      <w:r>
        <w:rPr>
          <w:rFonts w:hint="eastAsia" w:ascii="Times New Roman" w:hAnsi="Times New Roman" w:eastAsia="仿宋_GB2312" w:cs="Times New Roman"/>
          <w:sz w:val="32"/>
          <w:szCs w:val="40"/>
        </w:rPr>
        <w:t>格美服装、西纱</w:t>
      </w:r>
      <w:r>
        <w:rPr>
          <w:rFonts w:hint="eastAsia" w:ascii="Times New Roman" w:hAnsi="Times New Roman" w:eastAsia="仿宋_GB2312" w:cs="Times New Roman"/>
          <w:sz w:val="32"/>
          <w:szCs w:val="32"/>
        </w:rPr>
        <w:t>尔</w:t>
      </w:r>
      <w:r>
        <w:rPr>
          <w:rFonts w:ascii="Times New Roman" w:hAnsi="Times New Roman" w:eastAsia="仿宋_GB2312" w:cs="Times New Roman"/>
          <w:sz w:val="32"/>
          <w:szCs w:val="40"/>
        </w:rPr>
        <w:t>等龙头建设面料、辅料、设计、品牌等纺织服装全产业链条，打造自主服装品牌。以产业用布、无纺布，帐篷布、</w:t>
      </w:r>
      <w:r>
        <w:rPr>
          <w:rFonts w:hint="eastAsia" w:ascii="Times New Roman" w:hAnsi="Times New Roman" w:eastAsia="仿宋_GB2312" w:cs="Times New Roman"/>
          <w:sz w:val="32"/>
          <w:szCs w:val="40"/>
        </w:rPr>
        <w:t>纤维地毯、</w:t>
      </w:r>
      <w:r>
        <w:rPr>
          <w:rFonts w:ascii="Times New Roman" w:hAnsi="Times New Roman" w:eastAsia="仿宋_GB2312" w:cs="Times New Roman"/>
          <w:sz w:val="32"/>
          <w:szCs w:val="40"/>
        </w:rPr>
        <w:t>再生纤维等为突破，在医疗卫生、汽车内饰、高铁交通等领域加快发展一批产业用纺织品。围绕医疗应急需求，加快手术衣、床单、口罩、手套等医用纺织材料和制品开发。</w:t>
      </w:r>
    </w:p>
    <w:tbl>
      <w:tblPr>
        <w:tblStyle w:val="20"/>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14:paraId="51235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14:paraId="7DC697EE">
            <w:pPr>
              <w:spacing w:line="560" w:lineRule="exact"/>
              <w:jc w:val="center"/>
              <w:rPr>
                <w:rFonts w:ascii="Times New Roman" w:hAnsi="Times New Roman" w:eastAsia="黑体" w:cs="Times New Roman"/>
                <w:bCs/>
                <w:sz w:val="28"/>
                <w:szCs w:val="28"/>
              </w:rPr>
            </w:pPr>
            <w:r>
              <w:rPr>
                <w:rFonts w:ascii="Times New Roman" w:hAnsi="Times New Roman" w:eastAsia="黑体" w:cs="Times New Roman"/>
                <w:sz w:val="28"/>
                <w:szCs w:val="28"/>
              </w:rPr>
              <w:t>专栏6纺织服装产业集群发展目标与重点发展目录</w:t>
            </w:r>
          </w:p>
        </w:tc>
      </w:tr>
      <w:tr w14:paraId="4E76A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14:paraId="062AD972">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一、发展目标</w:t>
            </w:r>
          </w:p>
          <w:p w14:paraId="25942A6E">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到2025年，纺织服装业</w:t>
            </w:r>
            <w:r>
              <w:rPr>
                <w:rFonts w:hint="eastAsia" w:ascii="Times New Roman" w:hAnsi="Times New Roman" w:eastAsia="仿宋_GB2312" w:cs="Times New Roman"/>
                <w:sz w:val="32"/>
                <w:szCs w:val="40"/>
              </w:rPr>
              <w:t>集群</w:t>
            </w:r>
            <w:r>
              <w:rPr>
                <w:rFonts w:ascii="Times New Roman" w:hAnsi="Times New Roman" w:eastAsia="仿宋_GB2312" w:cs="Times New Roman"/>
                <w:sz w:val="32"/>
                <w:szCs w:val="40"/>
              </w:rPr>
              <w:t>产值规模达到</w:t>
            </w:r>
            <w:r>
              <w:rPr>
                <w:rFonts w:ascii="Times New Roman" w:hAnsi="Times New Roman" w:eastAsia="仿宋_GB2312" w:cs="Times New Roman"/>
                <w:sz w:val="32"/>
                <w:szCs w:val="40"/>
                <w:u w:val="single"/>
              </w:rPr>
              <w:t>3</w:t>
            </w:r>
            <w:r>
              <w:rPr>
                <w:rFonts w:hint="eastAsia" w:ascii="Times New Roman" w:hAnsi="Times New Roman" w:eastAsia="仿宋_GB2312" w:cs="Times New Roman"/>
                <w:sz w:val="32"/>
                <w:szCs w:val="40"/>
                <w:u w:val="single"/>
              </w:rPr>
              <w:t>0</w:t>
            </w:r>
            <w:r>
              <w:rPr>
                <w:rFonts w:ascii="Times New Roman" w:hAnsi="Times New Roman" w:eastAsia="仿宋_GB2312" w:cs="Times New Roman"/>
                <w:sz w:val="32"/>
                <w:szCs w:val="40"/>
              </w:rPr>
              <w:t>亿元。</w:t>
            </w:r>
          </w:p>
          <w:p w14:paraId="0C7D4F1B">
            <w:pPr>
              <w:spacing w:line="560" w:lineRule="exact"/>
              <w:ind w:firstLine="562" w:firstLineChars="200"/>
              <w:rPr>
                <w:rFonts w:ascii="Times New Roman" w:hAnsi="Times New Roman" w:eastAsia="楷体" w:cs="Times New Roman"/>
                <w:sz w:val="28"/>
                <w:szCs w:val="28"/>
              </w:rPr>
            </w:pPr>
            <w:r>
              <w:rPr>
                <w:rFonts w:ascii="Times New Roman" w:hAnsi="Times New Roman" w:eastAsia="楷体" w:cs="Times New Roman"/>
                <w:b/>
                <w:bCs/>
                <w:sz w:val="28"/>
                <w:szCs w:val="28"/>
              </w:rPr>
              <w:t>二、重点发展目录</w:t>
            </w:r>
          </w:p>
          <w:p w14:paraId="0D923F19">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1.纺织面料</w:t>
            </w:r>
          </w:p>
          <w:p w14:paraId="4155B48C">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纺织面料：棉纱、色纺纱、混纺纱，色纱，高档西装纺织物，针织仿梭织织物，多纤维交织织物，细旦纤维织物，经编特种纤维织物等纺织面料，功能性大提花复合织物、宽幅双层装饰织物等织造面料，推动高性能纤维、石墨烯等新纤维面料研发与产业化。</w:t>
            </w:r>
          </w:p>
          <w:p w14:paraId="3D89CDF1">
            <w:pPr>
              <w:spacing w:line="56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2.纺织制品</w:t>
            </w:r>
          </w:p>
          <w:p w14:paraId="4F9D2EDC">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——服饰制品：保健型针织品、高档时装、羽绒服装、针织服装等高档品牌服装产品，抗菌医护服、野外作业服、消防服、防弹服等功能性服装产品；</w:t>
            </w:r>
          </w:p>
          <w:p w14:paraId="2C83BC79">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——内衣产品：高档针织内衣、健康性内衣、功能性内衣等内衣系列产品；</w:t>
            </w:r>
          </w:p>
          <w:p w14:paraId="0D1AA520">
            <w:pPr>
              <w:spacing w:line="560" w:lineRule="exact"/>
              <w:ind w:firstLine="640" w:firstLineChars="200"/>
              <w:rPr>
                <w:rFonts w:ascii="Times New Roman" w:hAnsi="Times New Roman" w:eastAsia="楷体" w:cs="Times New Roman"/>
                <w:bCs/>
                <w:sz w:val="28"/>
                <w:szCs w:val="28"/>
              </w:rPr>
            </w:pPr>
            <w:r>
              <w:rPr>
                <w:rFonts w:ascii="Times New Roman" w:hAnsi="Times New Roman" w:eastAsia="仿宋_GB2312" w:cs="Times New Roman"/>
                <w:sz w:val="32"/>
                <w:szCs w:val="40"/>
              </w:rPr>
              <w:t>——产业用纺织制品：医疗卫生、过滤、交通工具、安全防护等产业用纺织品。</w:t>
            </w:r>
          </w:p>
        </w:tc>
      </w:tr>
    </w:tbl>
    <w:p w14:paraId="2B0089D9">
      <w:pPr>
        <w:spacing w:line="560" w:lineRule="exact"/>
        <w:rPr>
          <w:rFonts w:ascii="Times New Roman" w:hAnsi="Times New Roman" w:cs="Times New Roman"/>
        </w:rPr>
      </w:pPr>
      <w:bookmarkStart w:id="71" w:name="_Toc22400"/>
      <w:bookmarkStart w:id="72" w:name="_Toc19955"/>
      <w:bookmarkStart w:id="73" w:name="_Toc51589565"/>
    </w:p>
    <w:bookmarkEnd w:id="59"/>
    <w:bookmarkEnd w:id="71"/>
    <w:bookmarkEnd w:id="72"/>
    <w:bookmarkEnd w:id="73"/>
    <w:p w14:paraId="2CD1DA0C">
      <w:pPr>
        <w:pStyle w:val="2"/>
        <w:spacing w:before="0" w:after="0" w:line="560" w:lineRule="exact"/>
        <w:ind w:firstLine="643" w:firstLineChars="200"/>
        <w:rPr>
          <w:rFonts w:ascii="Times New Roman" w:hAnsi="Times New Roman" w:eastAsia="黑体" w:cs="Times New Roman"/>
          <w:sz w:val="32"/>
        </w:rPr>
      </w:pPr>
      <w:bookmarkStart w:id="74" w:name="_Toc51589569"/>
      <w:bookmarkStart w:id="75" w:name="_Toc167288473"/>
      <w:bookmarkStart w:id="76" w:name="_Toc23792"/>
      <w:bookmarkStart w:id="77" w:name="_Toc31217"/>
      <w:r>
        <w:rPr>
          <w:rFonts w:hint="eastAsia" w:ascii="Times New Roman" w:hAnsi="Times New Roman" w:eastAsia="黑体" w:cs="Times New Roman"/>
          <w:sz w:val="32"/>
        </w:rPr>
        <w:t>五</w:t>
      </w:r>
      <w:r>
        <w:rPr>
          <w:rFonts w:ascii="Times New Roman" w:hAnsi="Times New Roman" w:eastAsia="黑体" w:cs="Times New Roman"/>
          <w:sz w:val="32"/>
        </w:rPr>
        <w:t>、发展重点任务</w:t>
      </w:r>
      <w:bookmarkEnd w:id="74"/>
      <w:bookmarkEnd w:id="75"/>
      <w:bookmarkEnd w:id="76"/>
      <w:bookmarkEnd w:id="77"/>
    </w:p>
    <w:p w14:paraId="4082BE9E">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坚持以融合创新引领先进制造业发展，促进制造业新旧动能转换，积极发展新技术、新产业、新业态，构建新型先进制造业体系，加快制造业结构调整，推进产业转型升级，引导传统制造业向先进制造业方向转型，不断提高我市制造业发展水平。</w:t>
      </w:r>
    </w:p>
    <w:bookmarkEnd w:id="60"/>
    <w:p w14:paraId="4AB53235">
      <w:pPr>
        <w:spacing w:line="560" w:lineRule="exact"/>
        <w:ind w:firstLine="643" w:firstLineChars="200"/>
        <w:outlineLvl w:val="1"/>
        <w:rPr>
          <w:rFonts w:ascii="Times New Roman" w:hAnsi="Times New Roman" w:eastAsia="楷体_GB2312" w:cs="Times New Roman"/>
          <w:b/>
          <w:bCs/>
          <w:sz w:val="32"/>
          <w:szCs w:val="40"/>
        </w:rPr>
      </w:pPr>
      <w:bookmarkStart w:id="78" w:name="_Toc167288474"/>
      <w:bookmarkStart w:id="79" w:name="_Toc7793"/>
      <w:bookmarkStart w:id="80" w:name="_Toc16009"/>
      <w:bookmarkStart w:id="81" w:name="_Toc51589570"/>
      <w:bookmarkStart w:id="82" w:name="_Toc42881307"/>
      <w:r>
        <w:rPr>
          <w:rFonts w:ascii="Times New Roman" w:hAnsi="Times New Roman" w:eastAsia="楷体_GB2312" w:cs="Times New Roman"/>
          <w:b/>
          <w:bCs/>
          <w:sz w:val="32"/>
          <w:szCs w:val="40"/>
        </w:rPr>
        <w:t>（一）着力产业链建设，夯实产业基础能力</w:t>
      </w:r>
      <w:bookmarkEnd w:id="78"/>
    </w:p>
    <w:bookmarkEnd w:id="79"/>
    <w:bookmarkEnd w:id="80"/>
    <w:bookmarkEnd w:id="81"/>
    <w:p w14:paraId="4C17FE32">
      <w:pPr>
        <w:spacing w:line="560" w:lineRule="exact"/>
        <w:ind w:firstLine="643" w:firstLineChars="200"/>
        <w:rPr>
          <w:rFonts w:ascii="Times New Roman" w:hAnsi="Times New Roman" w:eastAsia="仿宋_GB2312" w:cs="Times New Roman"/>
          <w:b/>
          <w:sz w:val="32"/>
          <w:szCs w:val="32"/>
        </w:rPr>
      </w:pPr>
      <w:bookmarkStart w:id="83" w:name="_Toc51781915"/>
      <w:r>
        <w:rPr>
          <w:rFonts w:ascii="Times New Roman" w:hAnsi="Times New Roman" w:eastAsia="仿宋_GB2312" w:cs="Times New Roman"/>
          <w:b/>
          <w:sz w:val="32"/>
          <w:szCs w:val="32"/>
        </w:rPr>
        <w:t>1、提升行业产业链发展水平</w:t>
      </w:r>
      <w:bookmarkEnd w:id="83"/>
      <w:r>
        <w:rPr>
          <w:rFonts w:hint="eastAsia" w:ascii="Times New Roman" w:hAnsi="Times New Roman" w:eastAsia="仿宋_GB2312" w:cs="Times New Roman"/>
          <w:b/>
          <w:sz w:val="32"/>
          <w:szCs w:val="32"/>
        </w:rPr>
        <w:t>。</w:t>
      </w:r>
    </w:p>
    <w:p w14:paraId="195F8CD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大力培育先进制造业集群，提升集群产业链发展水平，</w:t>
      </w:r>
      <w:r>
        <w:rPr>
          <w:rFonts w:ascii="Times New Roman" w:hAnsi="Times New Roman" w:eastAsia="仿宋_GB2312" w:cs="Times New Roman"/>
          <w:sz w:val="32"/>
          <w:szCs w:val="40"/>
        </w:rPr>
        <w:t>抓好稳链控链引链工作，强化产业链招商，完善重点产业链供应链配套，找准产业链薄弱和缺失环节，分类施策，增强产业链关键环节和优势企业的根植性，稳定产业链发展基本面。</w:t>
      </w:r>
      <w:r>
        <w:rPr>
          <w:rFonts w:ascii="Times New Roman" w:hAnsi="Times New Roman" w:eastAsia="仿宋_GB2312" w:cs="Times New Roman"/>
          <w:sz w:val="32"/>
          <w:szCs w:val="32"/>
        </w:rPr>
        <w:t>实施制造业创新强核行动，开展核心关键技术攻关，</w:t>
      </w:r>
      <w:r>
        <w:rPr>
          <w:rFonts w:ascii="Times New Roman" w:hAnsi="Times New Roman" w:eastAsia="仿宋_GB2312" w:cs="Times New Roman"/>
          <w:sz w:val="32"/>
          <w:szCs w:val="40"/>
        </w:rPr>
        <w:t>重点围绕核心基础零部件（元器件）、关键基础材料、先进基础工艺和产业技术基础等恩平产业基础能力薄弱环节，实施产业基础高级化、产业链现代化的攻坚战。</w:t>
      </w:r>
      <w:r>
        <w:rPr>
          <w:rFonts w:ascii="Times New Roman" w:hAnsi="Times New Roman" w:eastAsia="仿宋_GB2312" w:cs="Times New Roman"/>
          <w:sz w:val="32"/>
          <w:szCs w:val="32"/>
        </w:rPr>
        <w:t>推进“链长制”，完善联动协调工作机制，统筹协调资源配置整合，协调推进产业全链条发展，培育壮大</w:t>
      </w:r>
      <w:r>
        <w:rPr>
          <w:rFonts w:hint="eastAsia" w:ascii="Times New Roman" w:hAnsi="Times New Roman" w:eastAsia="仿宋_GB2312" w:cs="Times New Roman"/>
          <w:sz w:val="32"/>
          <w:szCs w:val="32"/>
        </w:rPr>
        <w:t>高端</w:t>
      </w:r>
      <w:r>
        <w:rPr>
          <w:rFonts w:ascii="Times New Roman" w:hAnsi="Times New Roman" w:eastAsia="仿宋_GB2312" w:cs="Times New Roman"/>
          <w:sz w:val="32"/>
          <w:szCs w:val="32"/>
        </w:rPr>
        <w:t>装备</w:t>
      </w:r>
      <w:r>
        <w:rPr>
          <w:rFonts w:hint="eastAsia" w:ascii="Times New Roman" w:hAnsi="Times New Roman" w:eastAsia="仿宋_GB2312" w:cs="Times New Roman"/>
          <w:sz w:val="32"/>
          <w:szCs w:val="32"/>
        </w:rPr>
        <w:t>制造</w:t>
      </w:r>
      <w:r>
        <w:rPr>
          <w:rFonts w:ascii="Times New Roman" w:hAnsi="Times New Roman" w:eastAsia="仿宋_GB2312" w:cs="Times New Roman"/>
          <w:sz w:val="32"/>
          <w:szCs w:val="32"/>
        </w:rPr>
        <w:t>、新一代电子信息、</w:t>
      </w:r>
      <w:r>
        <w:rPr>
          <w:rFonts w:hint="eastAsia" w:ascii="Times New Roman" w:hAnsi="Times New Roman" w:eastAsia="仿宋_GB2312" w:cs="Times New Roman"/>
          <w:sz w:val="32"/>
          <w:szCs w:val="32"/>
        </w:rPr>
        <w:t>先进</w:t>
      </w:r>
      <w:r>
        <w:rPr>
          <w:rFonts w:ascii="Times New Roman" w:hAnsi="Times New Roman" w:eastAsia="仿宋_GB2312" w:cs="Times New Roman"/>
          <w:sz w:val="32"/>
          <w:szCs w:val="32"/>
        </w:rPr>
        <w:t>材料等6条重点产业链。抓好建链</w:t>
      </w:r>
      <w:r>
        <w:rPr>
          <w:rFonts w:hint="eastAsia" w:ascii="Times New Roman" w:hAnsi="Times New Roman" w:eastAsia="仿宋_GB2312" w:cs="Times New Roman"/>
          <w:sz w:val="32"/>
          <w:szCs w:val="32"/>
        </w:rPr>
        <w:t>延链</w:t>
      </w:r>
      <w:r>
        <w:rPr>
          <w:rFonts w:ascii="Times New Roman" w:hAnsi="Times New Roman" w:eastAsia="仿宋_GB2312" w:cs="Times New Roman"/>
          <w:sz w:val="32"/>
          <w:szCs w:val="32"/>
        </w:rPr>
        <w:t>强链补链工作，实施产业链招商，推动升泰昌</w:t>
      </w:r>
      <w:r>
        <w:rPr>
          <w:rFonts w:ascii="Times New Roman" w:hAnsi="Times New Roman" w:eastAsia="Dotum" w:cs="Times New Roman"/>
          <w:sz w:val="32"/>
          <w:szCs w:val="32"/>
        </w:rPr>
        <w:t>·</w:t>
      </w:r>
      <w:r>
        <w:rPr>
          <w:rFonts w:hint="eastAsia" w:ascii="Times New Roman" w:hAnsi="Times New Roman" w:cs="Times New Roman"/>
          <w:sz w:val="32"/>
          <w:szCs w:val="32"/>
        </w:rPr>
        <w:t>恩平</w:t>
      </w:r>
      <w:r>
        <w:rPr>
          <w:rFonts w:ascii="Times New Roman" w:hAnsi="Times New Roman" w:eastAsia="仿宋_GB2312" w:cs="Times New Roman"/>
          <w:sz w:val="32"/>
          <w:szCs w:val="32"/>
        </w:rPr>
        <w:t>智造加速器等项目建设，大力培育产业生态主导型企业，支持行业龙头企业、产业链核心企业与本地供应链上下游企业开展联合技术攻关和生产配套合作，着力打造集研发设计、生产制造、集成服务等产业链条，提升产业链现代化水平。</w:t>
      </w:r>
    </w:p>
    <w:p w14:paraId="2567BAF4">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2、建立网络化协同供应链体系</w:t>
      </w:r>
      <w:r>
        <w:rPr>
          <w:rFonts w:hint="eastAsia" w:ascii="Times New Roman" w:hAnsi="Times New Roman" w:eastAsia="仿宋_GB2312" w:cs="Times New Roman"/>
          <w:b/>
          <w:sz w:val="32"/>
          <w:szCs w:val="40"/>
        </w:rPr>
        <w:t>。</w:t>
      </w:r>
    </w:p>
    <w:p w14:paraId="08BCA697">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以广东省统一搭建的工业互联网平台为支撑，鼓励我市企业集群式“上云上平台”，借助广东省构建的网络化协同的新型供应链体系，推动实现信息、技术、产能等精准配置和高效对接，形成省、江门市保产业链供应链稳定的重要板块。积极推动产业链供应链进口替代，根据我市重点产业链供应链名录，建立重点产业链各环节全市同类企业清单，并将该清单范围向大湾区以及广东省企业扩展，积极搭建平台推动同类产品替代。</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14:paraId="076F0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8250" w:type="dxa"/>
            <w:tcBorders>
              <w:top w:val="single" w:color="auto" w:sz="4" w:space="0"/>
              <w:left w:val="single" w:color="auto" w:sz="4" w:space="0"/>
              <w:bottom w:val="single" w:color="auto" w:sz="4" w:space="0"/>
              <w:right w:val="single" w:color="auto" w:sz="4" w:space="0"/>
            </w:tcBorders>
            <w:vAlign w:val="center"/>
          </w:tcPr>
          <w:p w14:paraId="7B64AF2C">
            <w:pPr>
              <w:spacing w:line="560" w:lineRule="exact"/>
              <w:jc w:val="center"/>
              <w:rPr>
                <w:rFonts w:ascii="Times New Roman" w:hAnsi="Times New Roman" w:cs="Times New Roman"/>
                <w:kern w:val="0"/>
                <w:sz w:val="24"/>
              </w:rPr>
            </w:pPr>
            <w:r>
              <w:rPr>
                <w:rFonts w:ascii="Times New Roman" w:hAnsi="Times New Roman" w:eastAsia="黑体" w:cs="Times New Roman"/>
                <w:sz w:val="28"/>
                <w:szCs w:val="28"/>
              </w:rPr>
              <w:t>专栏7先进制造业集群培育建设工程</w:t>
            </w:r>
          </w:p>
        </w:tc>
      </w:tr>
      <w:tr w14:paraId="2EE0E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0" w:type="dxa"/>
            <w:tcBorders>
              <w:top w:val="single" w:color="auto" w:sz="4" w:space="0"/>
              <w:left w:val="single" w:color="auto" w:sz="4" w:space="0"/>
              <w:bottom w:val="single" w:color="auto" w:sz="4" w:space="0"/>
              <w:right w:val="single" w:color="auto" w:sz="4" w:space="0"/>
            </w:tcBorders>
            <w:vAlign w:val="center"/>
          </w:tcPr>
          <w:p w14:paraId="74DC9394">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1.建立重点产业链“链长制”工作机制。</w:t>
            </w:r>
            <w:r>
              <w:rPr>
                <w:rFonts w:ascii="Times New Roman" w:hAnsi="Times New Roman" w:eastAsia="仿宋_GB2312" w:cs="Times New Roman"/>
                <w:sz w:val="32"/>
                <w:szCs w:val="40"/>
              </w:rPr>
              <w:t>实施“链长制”，围绕产业集群的重点发展领域，选取智能及机械装备、演艺装备、新材料、食品饮料、纺织服装、陶瓷建材等6条重点产业链，由市领导分别担任各产业链“链长”组建工作专班，构建一链长、一专班、一产业、一体系、一抓到底的工作机制，建立产业链联动协调机制。发挥好“链长”和“链主”企业的作用，共同携手培育产业发展，加快完善“五个一”工作体系（即</w:t>
            </w:r>
            <w:r>
              <w:rPr>
                <w:rFonts w:hint="eastAsia" w:ascii="Times New Roman" w:hAnsi="Times New Roman" w:eastAsia="仿宋_GB2312" w:cs="Times New Roman"/>
                <w:sz w:val="32"/>
                <w:szCs w:val="40"/>
              </w:rPr>
              <w:t>一套产业链图、一套重点企业名录、一套重点项目清单、一套重点招商企业名录、一套创新和服务体系</w:t>
            </w:r>
            <w:r>
              <w:rPr>
                <w:rFonts w:ascii="Times New Roman" w:hAnsi="Times New Roman" w:eastAsia="仿宋_GB2312" w:cs="Times New Roman"/>
                <w:sz w:val="32"/>
                <w:szCs w:val="40"/>
              </w:rPr>
              <w:t>），完善决策咨询体系，全力推进重点产业链培育工作。</w:t>
            </w:r>
          </w:p>
          <w:p w14:paraId="51852CF6">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2.</w:t>
            </w:r>
            <w:r>
              <w:rPr>
                <w:rFonts w:hint="eastAsia" w:ascii="Times New Roman" w:hAnsi="Times New Roman" w:eastAsia="仿宋_GB2312" w:cs="Times New Roman"/>
                <w:b/>
                <w:sz w:val="32"/>
                <w:szCs w:val="40"/>
              </w:rPr>
              <w:t>谋划</w:t>
            </w:r>
            <w:r>
              <w:rPr>
                <w:rFonts w:ascii="Times New Roman" w:hAnsi="Times New Roman" w:eastAsia="仿宋_GB2312" w:cs="Times New Roman"/>
                <w:b/>
                <w:sz w:val="32"/>
                <w:szCs w:val="40"/>
              </w:rPr>
              <w:t>重点产业链“路线图”。</w:t>
            </w:r>
            <w:r>
              <w:rPr>
                <w:rFonts w:ascii="Times New Roman" w:hAnsi="Times New Roman" w:eastAsia="仿宋_GB2312" w:cs="Times New Roman"/>
                <w:sz w:val="32"/>
                <w:szCs w:val="40"/>
              </w:rPr>
              <w:t>聚焦战略性产业集群的细分领域针对智能及机械装备、演艺装备和新材料等重点产业链，找准产业链薄弱和关键“卡脖子”环节，全面梳理汇总产业强链、补链、延链关键要点，建立重点产业链的核心企业库，摸清核心环节、核心零部件的生产分布，绘制重点产业链强链补链延链的“路线图”。</w:t>
            </w:r>
          </w:p>
          <w:p w14:paraId="23C4FD51">
            <w:pPr>
              <w:widowControl/>
              <w:spacing w:line="560" w:lineRule="exact"/>
              <w:ind w:firstLine="643" w:firstLineChars="200"/>
              <w:jc w:val="left"/>
              <w:rPr>
                <w:rFonts w:ascii="Times New Roman" w:hAnsi="Times New Roman" w:cs="Times New Roman"/>
                <w:kern w:val="0"/>
                <w:sz w:val="24"/>
              </w:rPr>
            </w:pPr>
            <w:r>
              <w:rPr>
                <w:rFonts w:hint="eastAsia" w:ascii="Times New Roman" w:hAnsi="Times New Roman" w:eastAsia="仿宋_GB2312" w:cs="Times New Roman"/>
                <w:b/>
                <w:sz w:val="32"/>
                <w:szCs w:val="40"/>
              </w:rPr>
              <w:t>3</w:t>
            </w:r>
            <w:r>
              <w:rPr>
                <w:rFonts w:ascii="Times New Roman" w:hAnsi="Times New Roman" w:eastAsia="仿宋_GB2312" w:cs="Times New Roman"/>
                <w:b/>
                <w:sz w:val="32"/>
                <w:szCs w:val="40"/>
              </w:rPr>
              <w:t>.培育国家级、省级先进制造业集群。</w:t>
            </w:r>
            <w:r>
              <w:rPr>
                <w:rFonts w:ascii="Times New Roman" w:hAnsi="Times New Roman" w:eastAsia="仿宋_GB2312" w:cs="Times New Roman"/>
                <w:sz w:val="32"/>
                <w:szCs w:val="40"/>
              </w:rPr>
              <w:t>创新产业集群管理方式，培育新型产业组织，鼓励发展产业集群促进机构（中介组织）构建“一集群一机构”的新型集群发展促进机构体系、开放协同的公共服务体系，发挥产业组织机构的行业力量，争创国家级、省级先进制造业集群。</w:t>
            </w:r>
          </w:p>
        </w:tc>
      </w:tr>
    </w:tbl>
    <w:p w14:paraId="097CCB82">
      <w:pPr>
        <w:spacing w:line="560" w:lineRule="exact"/>
        <w:ind w:firstLine="643" w:firstLineChars="200"/>
        <w:outlineLvl w:val="1"/>
        <w:rPr>
          <w:rFonts w:ascii="Times New Roman" w:hAnsi="Times New Roman" w:eastAsia="楷体_GB2312" w:cs="Times New Roman"/>
          <w:b/>
          <w:bCs/>
          <w:sz w:val="32"/>
          <w:szCs w:val="40"/>
        </w:rPr>
      </w:pPr>
      <w:bookmarkStart w:id="84" w:name="_Toc167288475"/>
      <w:r>
        <w:rPr>
          <w:rFonts w:ascii="Times New Roman" w:hAnsi="Times New Roman" w:eastAsia="楷体_GB2312" w:cs="Times New Roman"/>
          <w:b/>
          <w:bCs/>
          <w:sz w:val="32"/>
          <w:szCs w:val="40"/>
        </w:rPr>
        <w:t>（二）坚持创新驱动，增强产业核心竞争力</w:t>
      </w:r>
      <w:bookmarkEnd w:id="84"/>
    </w:p>
    <w:p w14:paraId="073EAA6D">
      <w:pPr>
        <w:spacing w:line="560" w:lineRule="exact"/>
        <w:ind w:firstLine="643" w:firstLineChars="200"/>
        <w:rPr>
          <w:rFonts w:ascii="Times New Roman" w:hAnsi="Times New Roman" w:eastAsia="仿宋_GB2312" w:cs="Times New Roman"/>
          <w:b/>
          <w:sz w:val="32"/>
          <w:szCs w:val="32"/>
        </w:rPr>
      </w:pPr>
      <w:bookmarkStart w:id="85" w:name="_Toc51781919"/>
      <w:r>
        <w:rPr>
          <w:rFonts w:ascii="Times New Roman" w:hAnsi="Times New Roman" w:eastAsia="仿宋_GB2312" w:cs="Times New Roman"/>
          <w:b/>
          <w:sz w:val="32"/>
          <w:szCs w:val="32"/>
        </w:rPr>
        <w:t>1、重点领域核心技术攻关</w:t>
      </w:r>
      <w:bookmarkEnd w:id="85"/>
      <w:r>
        <w:rPr>
          <w:rFonts w:hint="eastAsia" w:ascii="Times New Roman" w:hAnsi="Times New Roman" w:eastAsia="仿宋_GB2312" w:cs="Times New Roman"/>
          <w:b/>
          <w:sz w:val="32"/>
          <w:szCs w:val="32"/>
        </w:rPr>
        <w:t>。</w:t>
      </w:r>
    </w:p>
    <w:p w14:paraId="7F1D4AA5">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32"/>
        </w:rPr>
        <w:t>推进与省科学院强大科技创新资源的对接，强化与省科学院江门产业技术研究院合作，加快省科学院江门产业技术研究院与我市电声产业战略协议实施落地，探索推进与我市智能装备产业战略合作，建设一批高水平研究机构和产业技术创新平台，加快完善新型政产学研体系，促进成果转移转化，构建科技创新成果转化新高地。</w:t>
      </w:r>
      <w:r>
        <w:rPr>
          <w:rFonts w:ascii="Times New Roman" w:hAnsi="Times New Roman" w:eastAsia="仿宋_GB2312" w:cs="Times New Roman"/>
          <w:sz w:val="32"/>
          <w:szCs w:val="40"/>
        </w:rPr>
        <w:t>聚焦先进制造业集群建设一批省和江门市的技术创新中心、产业创新中心、成果转化中心，谋划一批应用基础研究和关键核心技术攻关项目，进一步完善科技创新政策，引导和鼓励企业加强技术研发，支持我市</w:t>
      </w:r>
      <w:r>
        <w:rPr>
          <w:rFonts w:hint="eastAsia" w:ascii="Times New Roman" w:hAnsi="Times New Roman" w:eastAsia="仿宋_GB2312" w:cs="Times New Roman"/>
          <w:sz w:val="32"/>
          <w:szCs w:val="40"/>
        </w:rPr>
        <w:t>战略性</w:t>
      </w:r>
      <w:r>
        <w:rPr>
          <w:rFonts w:ascii="Times New Roman" w:hAnsi="Times New Roman" w:eastAsia="仿宋_GB2312" w:cs="Times New Roman"/>
          <w:sz w:val="32"/>
          <w:szCs w:val="40"/>
        </w:rPr>
        <w:t>产业领域龙头企业、高新技术企业联合高校、科研院所围绕核心基础零部件（元器件）、关键基础材料、先进基础工艺和产业技术基础等方面的短板，开展核心技术攻关，研发一批具有核心知识产权和产业化能力的关键技术成果，提升企业市场竞争能力，提高产业链、供应链安全性和自主性。</w:t>
      </w:r>
      <w:r>
        <w:rPr>
          <w:rFonts w:ascii="Times New Roman" w:hAnsi="Times New Roman" w:eastAsia="仿宋_GB2312" w:cs="Times New Roman"/>
          <w:sz w:val="32"/>
          <w:szCs w:val="32"/>
        </w:rPr>
        <w:t>深化产学研协同创新机制，围绕我市产学研合作深度不够、协同创新意愿弱、缺少自主技术、缺少创新人才等方面开展合作，加强联合技术攻关合作、联合研发平台建设等，加强开展业务指导和培训、加大高端人才输送，为推动我市创新发展、高质量发展提供有力支撑。</w:t>
      </w:r>
    </w:p>
    <w:p w14:paraId="1493A837">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2、推进先进制造创新载体平台建设</w:t>
      </w:r>
      <w:r>
        <w:rPr>
          <w:rFonts w:hint="eastAsia" w:ascii="Times New Roman" w:hAnsi="Times New Roman" w:eastAsia="仿宋_GB2312" w:cs="Times New Roman"/>
          <w:b/>
          <w:sz w:val="32"/>
          <w:szCs w:val="40"/>
        </w:rPr>
        <w:t>。</w:t>
      </w:r>
    </w:p>
    <w:p w14:paraId="6CFDE02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加快创业创新载体平台建设，引导科技企业孵化器、众创空间健康快速发展，</w:t>
      </w:r>
      <w:r>
        <w:rPr>
          <w:rFonts w:ascii="Times New Roman" w:hAnsi="Times New Roman" w:eastAsia="仿宋_GB2312" w:cs="Times New Roman"/>
          <w:sz w:val="32"/>
          <w:szCs w:val="40"/>
        </w:rPr>
        <w:t>以技术创新推动产业链关键环节的国产自主化，推动龙头骨干企业设立创新型研发机构，落实企业技术中心资金奖补政策，推动规模以上工业企业研发机构覆盖面，建立支撑制造业重点领域发展的创新网络，带动产业整体创新能力提升。</w:t>
      </w:r>
      <w:r>
        <w:rPr>
          <w:rFonts w:ascii="Times New Roman" w:hAnsi="Times New Roman" w:eastAsia="仿宋_GB2312" w:cs="Times New Roman"/>
          <w:sz w:val="32"/>
          <w:szCs w:val="32"/>
        </w:rPr>
        <w:t>引导龙头企业积极开展产学研协同创新与重大科学工程创新与应用、创新载体与创新服务体系建设，</w:t>
      </w:r>
      <w:r>
        <w:rPr>
          <w:rFonts w:ascii="Times New Roman" w:hAnsi="Times New Roman" w:eastAsia="仿宋_GB2312" w:cs="Times New Roman"/>
          <w:sz w:val="32"/>
          <w:szCs w:val="40"/>
        </w:rPr>
        <w:t>积极对接广深港澳掌握关键核心技术的科技领军人才和创新团队，与广深港澳的国家级重点实验室、高等院校、创新引擎企业等机构单位深化合作，</w:t>
      </w:r>
      <w:r>
        <w:rPr>
          <w:rFonts w:ascii="Times New Roman" w:hAnsi="Times New Roman" w:eastAsia="仿宋_GB2312" w:cs="Times New Roman"/>
          <w:sz w:val="32"/>
          <w:szCs w:val="32"/>
        </w:rPr>
        <w:t>加强科研活动与人才队伍建设，深入与</w:t>
      </w:r>
      <w:r>
        <w:rPr>
          <w:rFonts w:hint="eastAsia" w:ascii="Times New Roman" w:hAnsi="Times New Roman" w:eastAsia="仿宋_GB2312" w:cs="Times New Roman"/>
          <w:sz w:val="32"/>
          <w:szCs w:val="32"/>
        </w:rPr>
        <w:t>广东工业大学、</w:t>
      </w:r>
      <w:r>
        <w:rPr>
          <w:rFonts w:ascii="Times New Roman" w:hAnsi="Times New Roman" w:eastAsia="仿宋_GB2312" w:cs="Times New Roman"/>
          <w:sz w:val="32"/>
          <w:szCs w:val="32"/>
        </w:rPr>
        <w:t>五邑大学、广州大学、贺州学院、江门市技师学院和江门职业技术学院等高校推进产学研合作和产教融合发展，</w:t>
      </w:r>
      <w:r>
        <w:rPr>
          <w:rFonts w:hint="eastAsia" w:ascii="Times New Roman" w:hAnsi="Times New Roman" w:eastAsia="仿宋_GB2312" w:cs="Times New Roman"/>
          <w:sz w:val="32"/>
          <w:szCs w:val="32"/>
        </w:rPr>
        <w:t>用好江门市技师学院恩平智造学院的自主培养平台以及加快推进江门职业技术学院冯如学院（恩平）建设</w:t>
      </w:r>
      <w:r>
        <w:rPr>
          <w:rFonts w:ascii="Times New Roman" w:hAnsi="Times New Roman" w:eastAsia="仿宋_GB2312" w:cs="Times New Roman"/>
          <w:sz w:val="32"/>
          <w:szCs w:val="32"/>
        </w:rPr>
        <w:t>，为适应恩平地方产业发展培养高素质技术技能人才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40"/>
        </w:rPr>
        <w:t>大力培育制造业高新技术企业，建设高新技术企业培育后备库，建立梯队发展、逐级提升的高企发展培育体系，强化科技型企业、高新技术企业在技术研发、成果转化、人才汇聚、产业升级中的支撑作用。</w:t>
      </w:r>
    </w:p>
    <w:p w14:paraId="6313748B">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3、构建创新孵化育成体系建设</w:t>
      </w:r>
      <w:r>
        <w:rPr>
          <w:rFonts w:hint="eastAsia" w:ascii="Times New Roman" w:hAnsi="Times New Roman" w:eastAsia="仿宋_GB2312" w:cs="Times New Roman"/>
          <w:b/>
          <w:sz w:val="32"/>
          <w:szCs w:val="40"/>
        </w:rPr>
        <w:t>。</w:t>
      </w:r>
    </w:p>
    <w:p w14:paraId="7E23962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40"/>
        </w:rPr>
        <w:t>深度参与广深港澳科技创新走廊建设，构建粤港澳大湾区创新带重要节点城市，增强高端创新要素吸附能力。完善科技成果转移转化体系，</w:t>
      </w:r>
      <w:r>
        <w:rPr>
          <w:rFonts w:ascii="Times New Roman" w:hAnsi="Times New Roman" w:eastAsia="仿宋_GB2312" w:cs="Times New Roman"/>
          <w:sz w:val="32"/>
          <w:szCs w:val="32"/>
        </w:rPr>
        <w:t>落实科技创新扶持和小微双创扶持政策</w:t>
      </w:r>
      <w:r>
        <w:rPr>
          <w:rFonts w:ascii="Times New Roman" w:hAnsi="Times New Roman" w:eastAsia="仿宋_GB2312" w:cs="Times New Roman"/>
          <w:sz w:val="32"/>
          <w:szCs w:val="40"/>
        </w:rPr>
        <w:t>，鼓励、引导、支持企业引进先进技术装备，加强消化吸收再创新，形成自主知识产权和拥有核心关键技术。推动科技成果转化和产业化，支持建立技术成果中试平台和产业化基地，推进孵化育成体系建设，引导科技孵化育成体系提质增效发展，完善“众创空间-孵化器-加速器-科技园”全链条孵化育成体系。</w:t>
      </w:r>
      <w:r>
        <w:rPr>
          <w:rFonts w:ascii="Times New Roman" w:hAnsi="Times New Roman" w:eastAsia="仿宋_GB2312" w:cs="Times New Roman"/>
          <w:sz w:val="32"/>
          <w:szCs w:val="32"/>
        </w:rPr>
        <w:t>加快推进孵化载体建设，引导梧桐岛众创空间、</w:t>
      </w:r>
      <w:r>
        <w:rPr>
          <w:rFonts w:hint="eastAsia" w:ascii="Times New Roman" w:hAnsi="Times New Roman" w:eastAsia="仿宋_GB2312" w:cs="Times New Roman"/>
          <w:sz w:val="32"/>
          <w:szCs w:val="32"/>
        </w:rPr>
        <w:t>珠西</w:t>
      </w:r>
      <w:r>
        <w:rPr>
          <w:rFonts w:ascii="Times New Roman" w:hAnsi="Times New Roman" w:eastAsia="仿宋_GB2312" w:cs="Times New Roman"/>
          <w:sz w:val="32"/>
          <w:szCs w:val="32"/>
        </w:rPr>
        <w:t>声</w:t>
      </w:r>
      <w:r>
        <w:rPr>
          <w:rFonts w:hint="eastAsia" w:ascii="Times New Roman" w:hAnsi="Times New Roman" w:eastAsia="仿宋_GB2312" w:cs="Times New Roman"/>
          <w:sz w:val="32"/>
          <w:szCs w:val="32"/>
        </w:rPr>
        <w:t>谷</w:t>
      </w:r>
      <w:r>
        <w:rPr>
          <w:rFonts w:ascii="Times New Roman" w:hAnsi="Times New Roman" w:eastAsia="仿宋_GB2312" w:cs="Times New Roman"/>
          <w:sz w:val="32"/>
          <w:szCs w:val="32"/>
        </w:rPr>
        <w:t>等平台完善建设，推进升泰昌•恩平智造加速器项目等重点项目落地建设</w:t>
      </w:r>
      <w:r>
        <w:rPr>
          <w:rFonts w:hint="eastAsia" w:ascii="Times New Roman" w:hAnsi="Times New Roman" w:eastAsia="仿宋_GB2312" w:cs="Times New Roman"/>
          <w:sz w:val="32"/>
          <w:szCs w:val="32"/>
        </w:rPr>
        <w:t>和入驻企业培育</w:t>
      </w:r>
      <w:r>
        <w:rPr>
          <w:rFonts w:ascii="Times New Roman" w:hAnsi="Times New Roman" w:eastAsia="仿宋_GB2312" w:cs="Times New Roman"/>
          <w:sz w:val="32"/>
          <w:szCs w:val="32"/>
        </w:rPr>
        <w:t>。在恩平工业园优先打造专业化孵化链条，支持探索特色、新颖孵化服务模式，吸纳双创人才来恩平市创新创业。以点带面，鼓励企业与高校、科研机构合作，共同参与自主核心技术攻关，深化我市产学研合作。</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14:paraId="0AF2F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8250" w:type="dxa"/>
            <w:tcBorders>
              <w:top w:val="single" w:color="auto" w:sz="4" w:space="0"/>
              <w:left w:val="single" w:color="auto" w:sz="4" w:space="0"/>
              <w:bottom w:val="single" w:color="auto" w:sz="4" w:space="0"/>
              <w:right w:val="single" w:color="auto" w:sz="4" w:space="0"/>
            </w:tcBorders>
            <w:vAlign w:val="center"/>
          </w:tcPr>
          <w:p w14:paraId="3A41BFFE">
            <w:pPr>
              <w:spacing w:line="560" w:lineRule="exact"/>
              <w:jc w:val="center"/>
              <w:rPr>
                <w:rFonts w:ascii="Times New Roman" w:hAnsi="Times New Roman" w:cs="Times New Roman"/>
                <w:kern w:val="0"/>
                <w:sz w:val="24"/>
              </w:rPr>
            </w:pPr>
            <w:r>
              <w:rPr>
                <w:rFonts w:ascii="Times New Roman" w:hAnsi="Times New Roman" w:eastAsia="黑体" w:cs="Times New Roman"/>
                <w:sz w:val="28"/>
                <w:szCs w:val="28"/>
              </w:rPr>
              <w:t>专栏8先进制造业基础能力提升工程</w:t>
            </w:r>
          </w:p>
        </w:tc>
      </w:tr>
      <w:tr w14:paraId="062F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0" w:type="dxa"/>
            <w:tcBorders>
              <w:top w:val="single" w:color="auto" w:sz="4" w:space="0"/>
              <w:left w:val="single" w:color="auto" w:sz="4" w:space="0"/>
              <w:bottom w:val="single" w:color="auto" w:sz="4" w:space="0"/>
              <w:right w:val="single" w:color="auto" w:sz="4" w:space="0"/>
            </w:tcBorders>
            <w:vAlign w:val="center"/>
          </w:tcPr>
          <w:p w14:paraId="2091D6D0">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1.实施重点领域技术攻关计划。</w:t>
            </w:r>
            <w:r>
              <w:rPr>
                <w:rFonts w:ascii="Times New Roman" w:hAnsi="Times New Roman" w:eastAsia="仿宋_GB2312" w:cs="Times New Roman"/>
                <w:sz w:val="32"/>
                <w:szCs w:val="40"/>
              </w:rPr>
              <w:t>实施关键核心技术攻关计划，对接国家产业基础再造工程和“广东强芯”及“江门计划”工程等领域，强化与省科学院江门产业技术研究院合作，加快省科学院江门产业技术研究院与我市电声产业战略协议实施落地，探索推进与我市智能装备产业战略合作，鼓励重点企业积极参与产业关键技术攻关，对于材料、设备、制造业技术等不同产业不同领域的技术攻关项目，立足产业发展实际，组建产业技术创新战略联盟开展项目合作、协同技术攻关，推动产业链关键环节的国产自主化。</w:t>
            </w:r>
          </w:p>
          <w:p w14:paraId="2D15698C">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2.建设先进制造业创新平台。</w:t>
            </w:r>
            <w:r>
              <w:rPr>
                <w:rFonts w:ascii="Times New Roman" w:hAnsi="Times New Roman" w:eastAsia="仿宋_GB2312" w:cs="Times New Roman"/>
                <w:sz w:val="32"/>
                <w:szCs w:val="40"/>
              </w:rPr>
              <w:t>推动道氏技术、艾普升、帕思高等龙头企业与大湾区内外高水平大学、科研机构、科技企业在恩平市联合建设实验室、工程实验室、新型研发机构、工程技术研究中心、企业技术中心等研发机构，加速汇聚大院大所、龙头企业的高端创新资源和人才团队，建设一批高水平科技创新平台。开展江门市级研发机构增量提效行动，提高企业研发机构覆盖率，加快优秀科技成果转化。推进“大信创”产业发展，引导我市演艺装备行业企业加强创新平台建设，加快融入信息技术应用创新产业。强化龙头企业科技引领作用，推动产业科技创新合作与资源共享，推动企业发展壮大，提升恩平市内生型科技企业孵化能力。全市省级以上重点实验室、工程实验室、工程技术研究中心、企业技术中心等各类科技创新平台达到20家。</w:t>
            </w:r>
          </w:p>
          <w:p w14:paraId="7CE143D5">
            <w:pPr>
              <w:widowControl/>
              <w:spacing w:line="560" w:lineRule="exact"/>
              <w:ind w:firstLine="643" w:firstLineChars="200"/>
              <w:jc w:val="left"/>
              <w:rPr>
                <w:rFonts w:ascii="Times New Roman" w:hAnsi="Times New Roman" w:cs="Times New Roman"/>
                <w:kern w:val="0"/>
                <w:sz w:val="24"/>
              </w:rPr>
            </w:pPr>
            <w:r>
              <w:rPr>
                <w:rFonts w:ascii="Times New Roman" w:hAnsi="Times New Roman" w:eastAsia="仿宋_GB2312" w:cs="Times New Roman"/>
                <w:b/>
                <w:sz w:val="32"/>
                <w:szCs w:val="40"/>
              </w:rPr>
              <w:t>3.聚合平台力量加速科技成果转化。</w:t>
            </w:r>
            <w:r>
              <w:rPr>
                <w:rFonts w:ascii="Times New Roman" w:hAnsi="Times New Roman" w:eastAsia="仿宋_GB2312" w:cs="Times New Roman"/>
                <w:sz w:val="32"/>
                <w:szCs w:val="40"/>
              </w:rPr>
              <w:t>瞄准战略性新兴产业领域培育发展，强化与大湾区科研院所跨域合作，深化与广州大学产学研创新示范基地、五邑大学产学研创新联盟的合作，进一步拓展产学研合作广度与深度，开展联合技术攻关和科技成果产业化，汇聚先进制造业集群各个领域建立的创新平台科技力量，建设一批国家和省市的科技创新成果转化平台，搭建恩平制造业与大湾区高校科研、人才团队的对接桥梁，促进更多应用价值高、市场前景好的先进科技成果在恩平率先落地转化和产业化。对接江门市重点产业关键基础技术和产品创新目录，对于材料及零部件首批次、软件首版次、装备首台套应用等创新成果给予政策扶持。</w:t>
            </w:r>
          </w:p>
        </w:tc>
      </w:tr>
    </w:tbl>
    <w:p w14:paraId="43530385">
      <w:pPr>
        <w:pStyle w:val="3"/>
        <w:spacing w:before="0" w:after="0" w:line="560" w:lineRule="exact"/>
        <w:ind w:firstLine="630" w:firstLineChars="196"/>
        <w:rPr>
          <w:rFonts w:ascii="Times New Roman" w:hAnsi="Times New Roman" w:eastAsia="仿宋_GB2312"/>
          <w:bCs w:val="0"/>
          <w:szCs w:val="40"/>
        </w:rPr>
      </w:pPr>
      <w:bookmarkStart w:id="86" w:name="_Toc167288476"/>
      <w:r>
        <w:rPr>
          <w:rFonts w:ascii="Times New Roman" w:hAnsi="Times New Roman" w:eastAsia="仿宋_GB2312"/>
          <w:bCs w:val="0"/>
          <w:szCs w:val="40"/>
        </w:rPr>
        <w:t>（三）培育壮大主体，</w:t>
      </w:r>
      <w:r>
        <w:rPr>
          <w:rFonts w:hint="eastAsia" w:ascii="Times New Roman" w:hAnsi="Times New Roman" w:eastAsia="仿宋_GB2312"/>
          <w:bCs w:val="0"/>
          <w:szCs w:val="40"/>
        </w:rPr>
        <w:t>增强</w:t>
      </w:r>
      <w:r>
        <w:rPr>
          <w:rFonts w:ascii="Times New Roman" w:hAnsi="Times New Roman" w:eastAsia="仿宋_GB2312"/>
          <w:bCs w:val="0"/>
          <w:szCs w:val="40"/>
        </w:rPr>
        <w:t>制造</w:t>
      </w:r>
      <w:r>
        <w:rPr>
          <w:rFonts w:hint="eastAsia" w:ascii="Times New Roman" w:hAnsi="Times New Roman" w:eastAsia="仿宋_GB2312"/>
          <w:bCs w:val="0"/>
          <w:szCs w:val="40"/>
        </w:rPr>
        <w:t>业总体规模</w:t>
      </w:r>
      <w:bookmarkEnd w:id="86"/>
    </w:p>
    <w:p w14:paraId="5A304527">
      <w:pPr>
        <w:spacing w:line="560" w:lineRule="exact"/>
        <w:ind w:firstLine="643" w:firstLineChars="200"/>
        <w:outlineLvl w:val="2"/>
        <w:rPr>
          <w:rFonts w:ascii="Times New Roman" w:hAnsi="Times New Roman" w:eastAsia="仿宋_GB2312" w:cs="Times New Roman"/>
          <w:b/>
          <w:kern w:val="0"/>
          <w:sz w:val="32"/>
          <w:szCs w:val="32"/>
        </w:rPr>
      </w:pPr>
      <w:r>
        <w:rPr>
          <w:rFonts w:ascii="Times New Roman" w:hAnsi="Times New Roman" w:eastAsia="仿宋_GB2312" w:cs="Times New Roman"/>
          <w:b/>
          <w:sz w:val="32"/>
          <w:szCs w:val="32"/>
        </w:rPr>
        <w:t>1、</w:t>
      </w:r>
      <w:r>
        <w:rPr>
          <w:rFonts w:ascii="Times New Roman" w:hAnsi="Times New Roman" w:eastAsia="仿宋_GB2312" w:cs="Times New Roman"/>
          <w:b/>
          <w:kern w:val="0"/>
          <w:sz w:val="32"/>
          <w:szCs w:val="32"/>
        </w:rPr>
        <w:t>着力培育行业龙头骨干企业。</w:t>
      </w:r>
    </w:p>
    <w:p w14:paraId="378C63E2">
      <w:pPr>
        <w:spacing w:line="56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大力培育一批特色突出、市场竞争力强的先进制造业骨干企业，以产业龙头企业为核心，构建大中小企业创新协同、产能共享、产业链供应链互通的新型产业生态。持续深入推进企业“倍增计划”，建立企业成长监测体系和数据库，推动一批重点企业实现营业收入倍增目标，促进企业做大做优。抓好1亿、5亿、10亿、20亿的骨干企业梯队培育，支持锦兴、道氏、昊鑫、百强、新锦成、艾普升、宝索、博泰、海天和帕思高等龙头企业做大做强。</w:t>
      </w:r>
      <w:r>
        <w:rPr>
          <w:rFonts w:ascii="Times New Roman" w:hAnsi="Times New Roman" w:eastAsia="仿宋_GB2312" w:cs="Times New Roman"/>
          <w:kern w:val="0"/>
          <w:sz w:val="32"/>
          <w:szCs w:val="32"/>
        </w:rPr>
        <w:t>抓住全球产业链重构以及“双区驱动”重大发展机遇，积极发展总部经济，大力培育和引进“链主”企业，提升企业国际化发展能力，打造一批具有国际竞争力的龙头企业和企业集团。</w:t>
      </w:r>
    </w:p>
    <w:p w14:paraId="1F18C022">
      <w:pPr>
        <w:widowControl/>
        <w:spacing w:line="560" w:lineRule="exact"/>
        <w:ind w:firstLine="643" w:firstLineChars="200"/>
        <w:jc w:val="left"/>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2、着力培育“专精特新”企业</w:t>
      </w:r>
      <w:r>
        <w:rPr>
          <w:rFonts w:hint="eastAsia" w:ascii="Times New Roman" w:hAnsi="Times New Roman" w:eastAsia="楷体_GB2312" w:cs="Times New Roman"/>
          <w:b/>
          <w:kern w:val="0"/>
          <w:sz w:val="32"/>
          <w:szCs w:val="32"/>
        </w:rPr>
        <w:t>。</w:t>
      </w:r>
    </w:p>
    <w:p w14:paraId="2F2B0F95">
      <w:pPr>
        <w:widowControl/>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推动培育一批专精特新的“隐形冠军”、“单项冠军”和“小巨人”企业。</w:t>
      </w:r>
      <w:r>
        <w:rPr>
          <w:rFonts w:ascii="Times New Roman" w:hAnsi="Times New Roman" w:eastAsia="仿宋_GB2312" w:cs="Times New Roman"/>
          <w:kern w:val="0"/>
          <w:sz w:val="32"/>
          <w:szCs w:val="32"/>
        </w:rPr>
        <w:t>深入推进企业“倍增计划”，建立企业成长监测体系和数据库，推动一批中小企业加速壮大。聚焦</w:t>
      </w:r>
      <w:r>
        <w:rPr>
          <w:rFonts w:ascii="Times New Roman" w:hAnsi="Times New Roman" w:eastAsia="仿宋_GB2312" w:cs="Times New Roman"/>
          <w:sz w:val="32"/>
          <w:szCs w:val="40"/>
        </w:rPr>
        <w:t>恩平先进制造业细分行业领域，</w:t>
      </w:r>
      <w:r>
        <w:rPr>
          <w:rFonts w:ascii="Times New Roman" w:hAnsi="Times New Roman" w:eastAsia="仿宋_GB2312" w:cs="Times New Roman"/>
          <w:kern w:val="0"/>
          <w:sz w:val="32"/>
          <w:szCs w:val="32"/>
        </w:rPr>
        <w:t>培育一批主营业务突出、竞争能力强、成长性好、具有一定创新能力的“单项冠军”“隐形冠军”和“专精特新”中小企业，提高企业关键核心技术、品牌影响力、市场占有率等优势，鼓励引导“专精特新”中小企业成长为国内市场领先的“小巨人”企业、国际市场领先的“单项冠军”企业。</w:t>
      </w:r>
    </w:p>
    <w:p w14:paraId="6E49995E">
      <w:pPr>
        <w:spacing w:line="560" w:lineRule="exact"/>
        <w:ind w:firstLine="643" w:firstLineChars="200"/>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3、促进大中小企业融通发展</w:t>
      </w:r>
      <w:r>
        <w:rPr>
          <w:rFonts w:hint="eastAsia" w:ascii="Times New Roman" w:hAnsi="Times New Roman" w:eastAsia="楷体_GB2312" w:cs="Times New Roman"/>
          <w:b/>
          <w:kern w:val="0"/>
          <w:sz w:val="32"/>
          <w:szCs w:val="32"/>
        </w:rPr>
        <w:t>。</w:t>
      </w:r>
    </w:p>
    <w:p w14:paraId="373854B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充分发挥“链主”企业在产业集群建设中的领军作用，牵头承担重点研发计划、重点项目和重大平台建设等任务,通过技术输出、资源共享、供应商管理等方式整合产业链上中下游要素资源，支持中小企业通过上下游配套、分工协作等方式进入“链主”企业生产体系，形成功能互补、协同合作、关键环节自主可控的产业配套体系，构造大中小企业融通发展的企业群。支持“链主”企业、龙头骨干企业建设小微企业双创载体、专业孵化器，创新互利共赢、风险分担机制，推动行业龙头企业与中小微企业在研发设计、检验检测、模型加工、中试生产、物资采购、市场营销等方面的深度融通。</w:t>
      </w:r>
      <w:r>
        <w:rPr>
          <w:rFonts w:ascii="Times New Roman" w:hAnsi="Times New Roman" w:eastAsia="仿宋_GB2312" w:cs="Times New Roman"/>
          <w:sz w:val="32"/>
          <w:szCs w:val="32"/>
        </w:rPr>
        <w:t>继续加大力度推动“小升规”，引领中小企业不断发展壮大，推动先进制造业中小企业转型升级为规模以上企业，进一步壮大全市规上企业规模。</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14:paraId="68F84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8250" w:type="dxa"/>
            <w:tcBorders>
              <w:top w:val="single" w:color="auto" w:sz="4" w:space="0"/>
              <w:left w:val="single" w:color="auto" w:sz="4" w:space="0"/>
              <w:bottom w:val="single" w:color="auto" w:sz="4" w:space="0"/>
              <w:right w:val="single" w:color="auto" w:sz="4" w:space="0"/>
            </w:tcBorders>
            <w:vAlign w:val="center"/>
          </w:tcPr>
          <w:p w14:paraId="7C654AC8">
            <w:pPr>
              <w:spacing w:line="560" w:lineRule="exact"/>
              <w:jc w:val="center"/>
              <w:rPr>
                <w:rFonts w:ascii="Times New Roman" w:hAnsi="Times New Roman" w:cs="Times New Roman"/>
                <w:kern w:val="0"/>
                <w:sz w:val="24"/>
              </w:rPr>
            </w:pPr>
            <w:r>
              <w:rPr>
                <w:rFonts w:ascii="Times New Roman" w:hAnsi="Times New Roman" w:eastAsia="黑体" w:cs="Times New Roman"/>
                <w:sz w:val="28"/>
                <w:szCs w:val="28"/>
              </w:rPr>
              <w:t>专栏9先进制造业企业主体建设工程</w:t>
            </w:r>
          </w:p>
        </w:tc>
      </w:tr>
      <w:tr w14:paraId="6A8F5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0" w:type="dxa"/>
            <w:tcBorders>
              <w:top w:val="single" w:color="auto" w:sz="4" w:space="0"/>
              <w:left w:val="single" w:color="auto" w:sz="4" w:space="0"/>
              <w:bottom w:val="single" w:color="auto" w:sz="4" w:space="0"/>
              <w:right w:val="single" w:color="auto" w:sz="4" w:space="0"/>
            </w:tcBorders>
            <w:vAlign w:val="center"/>
          </w:tcPr>
          <w:p w14:paraId="227E14D0">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1.加强制造业骨干企业外引内育。</w:t>
            </w:r>
            <w:r>
              <w:rPr>
                <w:rFonts w:ascii="Times New Roman" w:hAnsi="Times New Roman" w:eastAsia="仿宋_GB2312" w:cs="Times New Roman"/>
                <w:sz w:val="32"/>
                <w:szCs w:val="40"/>
              </w:rPr>
              <w:t>围绕重点产业链领域，全力以赴招引一批行业领军企业和关键配套企业，落实扶持政策支持企业做强做优，培育一批产业链的</w:t>
            </w:r>
            <w:r>
              <w:rPr>
                <w:rFonts w:hint="eastAsia" w:ascii="Times New Roman" w:hAnsi="Times New Roman" w:eastAsia="仿宋_GB2312" w:cs="Times New Roman"/>
                <w:sz w:val="32"/>
                <w:szCs w:val="40"/>
              </w:rPr>
              <w:t>龙头</w:t>
            </w:r>
            <w:r>
              <w:rPr>
                <w:rFonts w:ascii="Times New Roman" w:hAnsi="Times New Roman" w:eastAsia="仿宋_GB2312" w:cs="Times New Roman"/>
                <w:sz w:val="32"/>
                <w:szCs w:val="40"/>
              </w:rPr>
              <w:t>企业，以</w:t>
            </w:r>
            <w:r>
              <w:rPr>
                <w:rFonts w:hint="eastAsia" w:ascii="Times New Roman" w:hAnsi="Times New Roman" w:eastAsia="仿宋_GB2312" w:cs="Times New Roman"/>
                <w:sz w:val="32"/>
                <w:szCs w:val="40"/>
              </w:rPr>
              <w:t>龙头</w:t>
            </w:r>
            <w:r>
              <w:rPr>
                <w:rFonts w:ascii="Times New Roman" w:hAnsi="Times New Roman" w:eastAsia="仿宋_GB2312" w:cs="Times New Roman"/>
                <w:sz w:val="32"/>
                <w:szCs w:val="40"/>
              </w:rPr>
              <w:t>企业的行业引领作用，带动提升全产业链资源的整合水平。大力发展总部经济，落实总部企业的认定、落户、经营贡献等奖励，以及办公用房、人才个税等补贴，持续认定一批总部企业，加快形成总部经济集聚效应。</w:t>
            </w:r>
          </w:p>
          <w:p w14:paraId="6E761F3F">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2.引导企业做强做精做大。</w:t>
            </w:r>
            <w:r>
              <w:rPr>
                <w:rFonts w:ascii="Times New Roman" w:hAnsi="Times New Roman" w:eastAsia="仿宋_GB2312" w:cs="Times New Roman"/>
                <w:sz w:val="32"/>
                <w:szCs w:val="40"/>
              </w:rPr>
              <w:t>持续深入推进企业“倍增计划”</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“十四五”期间推动超过5家规模以上工业企业实现主营业务收入倍增。聚焦恩平先进制造业细分行业领域，“十四五”期间培育省级以上“专精特新”企业达到</w:t>
            </w:r>
            <w:r>
              <w:rPr>
                <w:rFonts w:hint="eastAsia" w:ascii="Times New Roman" w:hAnsi="Times New Roman" w:eastAsia="仿宋_GB2312" w:cs="Times New Roman"/>
                <w:sz w:val="32"/>
                <w:szCs w:val="40"/>
              </w:rPr>
              <w:t>2</w:t>
            </w:r>
            <w:r>
              <w:rPr>
                <w:rFonts w:ascii="Times New Roman" w:hAnsi="Times New Roman" w:eastAsia="仿宋_GB2312" w:cs="Times New Roman"/>
                <w:sz w:val="32"/>
                <w:szCs w:val="40"/>
              </w:rPr>
              <w:t>0家</w:t>
            </w:r>
            <w:r>
              <w:rPr>
                <w:rFonts w:hint="eastAsia" w:ascii="Times New Roman" w:hAnsi="Times New Roman" w:eastAsia="仿宋_GB2312" w:cs="Times New Roman"/>
                <w:sz w:val="32"/>
                <w:szCs w:val="40"/>
              </w:rPr>
              <w:t>以上</w:t>
            </w:r>
            <w:r>
              <w:rPr>
                <w:rFonts w:ascii="Times New Roman" w:hAnsi="Times New Roman" w:eastAsia="仿宋_GB2312" w:cs="Times New Roman"/>
                <w:sz w:val="32"/>
                <w:szCs w:val="40"/>
              </w:rPr>
              <w:t>。促进小微企业上规模发展，完善“小升规”企业培育机制，建立“小升规”培育库，落实“小升规”奖励政策，支持小微企业做强做大，“十四五”期间推动60家以上企业实现“小升规”。</w:t>
            </w:r>
          </w:p>
          <w:p w14:paraId="14E67514">
            <w:pPr>
              <w:widowControl/>
              <w:spacing w:line="560" w:lineRule="exact"/>
              <w:ind w:firstLine="643"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b/>
                <w:sz w:val="32"/>
                <w:szCs w:val="40"/>
              </w:rPr>
              <w:t>3.深化“暖企”行动。</w:t>
            </w:r>
            <w:r>
              <w:rPr>
                <w:rFonts w:ascii="Times New Roman" w:hAnsi="Times New Roman" w:eastAsia="仿宋_GB2312" w:cs="Times New Roman"/>
                <w:sz w:val="32"/>
                <w:szCs w:val="40"/>
              </w:rPr>
              <w:t>强化暖企服务，开展恩平市暖企行动，充分发挥“首席服务官”作用，对规上企业建立常态化“暖企”服务机制，按照“一企一策”落实帮扶措施，定期收集相关企业和项目的进展情况，帮助企业解决难点痛点堵点问题。及时办理“江门市工业企业诉求办理系统”及“江企通”“粤商通”等企业诉求平台的企业诉求，线上线下联动为企业提供及时、优质、精准服务，打造政企良性互动的发展环境。</w:t>
            </w:r>
          </w:p>
        </w:tc>
      </w:tr>
    </w:tbl>
    <w:p w14:paraId="23F80AC9">
      <w:pPr>
        <w:pStyle w:val="3"/>
        <w:spacing w:before="0" w:after="0" w:line="560" w:lineRule="exact"/>
        <w:ind w:firstLine="630" w:firstLineChars="196"/>
        <w:rPr>
          <w:rFonts w:ascii="Times New Roman" w:hAnsi="Times New Roman" w:eastAsia="仿宋_GB2312"/>
          <w:bCs w:val="0"/>
          <w:szCs w:val="40"/>
        </w:rPr>
      </w:pPr>
      <w:bookmarkStart w:id="87" w:name="_Toc167288477"/>
      <w:bookmarkStart w:id="88" w:name="_Toc29185"/>
      <w:bookmarkStart w:id="89" w:name="_Toc15273"/>
      <w:bookmarkStart w:id="90" w:name="_Toc51589571"/>
      <w:r>
        <w:rPr>
          <w:rFonts w:ascii="Times New Roman" w:hAnsi="Times New Roman" w:eastAsia="仿宋_GB2312"/>
          <w:bCs w:val="0"/>
          <w:szCs w:val="40"/>
        </w:rPr>
        <w:t>（四）加快融合发展，推动产业优化升级</w:t>
      </w:r>
      <w:bookmarkEnd w:id="87"/>
    </w:p>
    <w:p w14:paraId="0292D94E">
      <w:pPr>
        <w:spacing w:line="560" w:lineRule="exact"/>
        <w:ind w:firstLine="643" w:firstLineChars="200"/>
        <w:rPr>
          <w:rFonts w:ascii="Times New Roman" w:hAnsi="Times New Roman" w:eastAsia="仿宋_GB2312" w:cs="Times New Roman"/>
          <w:b/>
          <w:sz w:val="32"/>
          <w:szCs w:val="40"/>
        </w:rPr>
      </w:pPr>
      <w:r>
        <w:rPr>
          <w:rFonts w:ascii="Times New Roman" w:hAnsi="Times New Roman" w:eastAsia="仿宋_GB2312" w:cs="Times New Roman"/>
          <w:b/>
          <w:sz w:val="32"/>
          <w:szCs w:val="40"/>
        </w:rPr>
        <w:t>1、加快制造业智能化转型升级</w:t>
      </w:r>
    </w:p>
    <w:p w14:paraId="0E05DEF9">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既要坚持工业立市、加快促进经济发展，又要坚持绿色生态发展的同时，要不断优化产业结构，以引进、培育齐发力，加快传统优势产业转型升级，加强创新，推动产业集聚，推进工业园区集聚发展，打造特色产业高地。同时积极发展战略性新兴产业、高新技术产业、先进机械装备制造业等产业，通过建机制、促技改、创品牌、引人才，为产业发展“搭好台”，让企业安心“唱好戏”，积极打造新产业发展大平台，切实支持实体经济和民营经济发展。实施新一轮技术改造，落实省新一轮技术改造支持范围扩展至软件、信息化改造等领域等措施，鼓励企业广泛运用现代信息技术优化工艺流程和提升制造效率。依托行业骨干企业创建开放共享的智能制造创新平台，推动关键共性技术研究以及智能部件、装备、系统研发，实施制造业智能化改造提升工程，加快新兴产业数字化、网络化、智能化改造，推动工业机器人、高档数控机床、3D打印设备等智能制造装备在制造业的广泛应用。实施网络化改造，深化生产制造与运营管理、采购销售等综合集成。重点围绕建筑陶瓷、纺织服装、机械制造、电声器材、精细化工等五大优势传统产业，率先开展“互联网+协同制造”试点，推动智慧园区、智能工厂和智能车间建设，提升资源配置、工艺优化和过程控制等智能化水平。</w:t>
      </w:r>
    </w:p>
    <w:p w14:paraId="099F2B45">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2、推动制造业数字化发展</w:t>
      </w:r>
    </w:p>
    <w:p w14:paraId="05E8917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40"/>
        </w:rPr>
        <w:t>推进信息化基础设施升级换代，扎实推进先进制造业重</w:t>
      </w:r>
      <w:r>
        <w:rPr>
          <w:rFonts w:ascii="Times New Roman" w:hAnsi="Times New Roman" w:eastAsia="仿宋_GB2312" w:cs="Times New Roman"/>
          <w:sz w:val="32"/>
          <w:szCs w:val="32"/>
        </w:rPr>
        <w:t>点集聚区构建连续覆盖的5G网络，促进制造业数字化网络化智能化，推进智能制造试点示范和机器人应用，大力发展工业互联网，支持企业“上云上平台”。鼓励企业探索应用区块链技术，优化生产环节，改善库存管理，提高数据安全性。促进5G产业赋能制造业发展，依托5G加速人工智能技术应用于制造业领域，建设一批数字化车间，支持企业打造5G智慧工厂。促进制造业与现代服务业融合发展，积极发展生产性服务业，支持企业参与工业设计大赛，建设一批工业设计中心，引导研发设计企业与制造企业嵌入式合作。</w:t>
      </w:r>
    </w:p>
    <w:p w14:paraId="66D34446">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3、推动制造业绿色低碳发展</w:t>
      </w:r>
    </w:p>
    <w:p w14:paraId="1553E20B">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40"/>
        </w:rPr>
        <w:t>全面提高制造业资源能源利用效率和清洁生产水平，鼓励引导企业开发绿色产品，创建绿色工厂，推动全市清洁生产，深入开展“粤港清洁生产伙伴计划”，力促企业节能、降耗、减污、增效。大力发展循环经济，推动恩平工业园循环化改造，提高园区资源产出率。提高企业资源综合利用水平，严格执行工业固废综合利用行业技术、管理标准，落实税收优惠政策，支持申报工业固体废物资源综合利用示范项目，完善提高华新水泥（恩平）固废危废综合处置中心建设。</w:t>
      </w:r>
      <w:r>
        <w:rPr>
          <w:rFonts w:ascii="Times New Roman" w:hAnsi="Times New Roman" w:eastAsia="仿宋_GB2312" w:cs="Times New Roman"/>
          <w:sz w:val="32"/>
          <w:szCs w:val="32"/>
        </w:rPr>
        <w:t>持续推进陶瓷产业绿色发展，大力推广窑炉新型节能燃烧技术设备和固废物循环利用技术。</w:t>
      </w:r>
      <w:r>
        <w:rPr>
          <w:rFonts w:ascii="Times New Roman" w:hAnsi="Times New Roman" w:eastAsia="仿宋_GB2312" w:cs="Times New Roman"/>
          <w:sz w:val="32"/>
          <w:szCs w:val="40"/>
        </w:rPr>
        <w:t>引导先进制造业节能减排，绿色集聚发展，利用综合标准推动能耗、环保、质量、安全、技术不达标的产能依法依规关停退出，引导环境污染少、技术含量高、附加值高的企业搬迁进入专业园区。</w:t>
      </w:r>
    </w:p>
    <w:p w14:paraId="4DBEC4A6">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4、推动制造业与服务业融合发展</w:t>
      </w:r>
    </w:p>
    <w:p w14:paraId="49F9E9BF">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提升现代服务业对先进制造业的服务能力，大力发展工业设计、现代物流、商贸会展、信息服务和科创服务等生产性服务业，办好“冯如杯”工业设计大赛和中国（恩平）演艺装备展销会；推进先进制造业与现代物流业、会展业、电子商务等商贸流通业融合发展。推动先进制造业企业实现生产型制造向服务型制造转型，鼓励企业拓展大型及关键设备的在线数据采集、运行分析、故障诊断、系统维护和设备升级等增值服务，为产业链上下游企业提供专业化、系统化制造服务，实现生产型制造向服务型制造转型。</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14:paraId="3898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8250" w:type="dxa"/>
            <w:tcBorders>
              <w:top w:val="single" w:color="auto" w:sz="4" w:space="0"/>
              <w:left w:val="single" w:color="auto" w:sz="4" w:space="0"/>
              <w:bottom w:val="single" w:color="auto" w:sz="4" w:space="0"/>
              <w:right w:val="single" w:color="auto" w:sz="4" w:space="0"/>
            </w:tcBorders>
            <w:vAlign w:val="center"/>
          </w:tcPr>
          <w:p w14:paraId="2704AC3C">
            <w:pPr>
              <w:spacing w:line="560" w:lineRule="exact"/>
              <w:jc w:val="center"/>
              <w:rPr>
                <w:rFonts w:ascii="Times New Roman" w:hAnsi="Times New Roman" w:cs="Times New Roman"/>
                <w:kern w:val="0"/>
                <w:sz w:val="24"/>
              </w:rPr>
            </w:pPr>
            <w:r>
              <w:rPr>
                <w:rFonts w:ascii="Times New Roman" w:hAnsi="Times New Roman" w:eastAsia="黑体" w:cs="Times New Roman"/>
                <w:sz w:val="28"/>
                <w:szCs w:val="28"/>
              </w:rPr>
              <w:t>专栏10先进制造业融合赋能工程</w:t>
            </w:r>
          </w:p>
        </w:tc>
      </w:tr>
      <w:tr w14:paraId="2C870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0" w:type="dxa"/>
            <w:tcBorders>
              <w:top w:val="single" w:color="auto" w:sz="4" w:space="0"/>
              <w:left w:val="single" w:color="auto" w:sz="4" w:space="0"/>
              <w:bottom w:val="single" w:color="auto" w:sz="4" w:space="0"/>
              <w:right w:val="single" w:color="auto" w:sz="4" w:space="0"/>
            </w:tcBorders>
            <w:vAlign w:val="center"/>
          </w:tcPr>
          <w:p w14:paraId="3660C796">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1.实施新一轮企业技术改造计划。</w:t>
            </w:r>
            <w:r>
              <w:rPr>
                <w:rFonts w:ascii="Times New Roman" w:hAnsi="Times New Roman" w:eastAsia="仿宋_GB2312" w:cs="Times New Roman"/>
                <w:sz w:val="32"/>
                <w:szCs w:val="40"/>
              </w:rPr>
              <w:t>落实省技术改造政策措施通过事后奖励等方式支持企业实施提质增效、智能化改造、设备更新等项目，支持企业购置先进智能制造设备，鼓励更多企业实施智能化数字化改造和节能降碳技术改造，“十四五”期间引导200家以上工业企业开展技术改造</w:t>
            </w:r>
          </w:p>
          <w:p w14:paraId="5A28EC9A">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2.提升产业智能制造水平。</w:t>
            </w:r>
            <w:r>
              <w:rPr>
                <w:rFonts w:ascii="Times New Roman" w:hAnsi="Times New Roman" w:eastAsia="仿宋_GB2312" w:cs="Times New Roman"/>
                <w:sz w:val="32"/>
                <w:szCs w:val="40"/>
              </w:rPr>
              <w:t>实施制造业智能化改造提升工程，加快产业数字化、网络化、智能化改造，推动工业机器人、高档数控机床、3D打印设备等智能制造装备在制造业的广泛应用。开展“互联网+协同制造”试点，推动智慧园区、智能工厂和智能车间建设，提升资源配置、工艺优化和过程控制等智能化水平。组织专业机构开展企业现场咨询诊断，推动智能制造服务供需对接，培育一批国家级、省级智能制造方面的示范项目和标杆企业。</w:t>
            </w:r>
          </w:p>
          <w:p w14:paraId="41A4C997">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3.推动产业集群数字化升级。</w:t>
            </w:r>
            <w:r>
              <w:rPr>
                <w:rFonts w:ascii="Times New Roman" w:hAnsi="Times New Roman" w:eastAsia="仿宋_GB2312" w:cs="Times New Roman"/>
                <w:sz w:val="32"/>
                <w:szCs w:val="40"/>
              </w:rPr>
              <w:t>推进信息化基础设施升级换代，扎实推进先进制造业重点集聚区构建连续覆盖的5G网络，促进制造业数字化网络化智能化，推进智能制造试点示范和机器人应用，大力发展工业互联网，支持企业“上云上平台”。鼓励引导演艺装备行业朝信息技术创新产业发展，鼓励引导演艺装备行业与智能装备行业融合，推动信息技术应用创新产业发展，提升产业集群综合竞争力。推动数字化转型服务商、龙头骨干企业、行业协会、科研机构等组建产业集群数字化转型联合体，推动演艺装备、智能装备、陶瓷建材、纺织服装等产业集群的数字化转型升级。</w:t>
            </w:r>
          </w:p>
          <w:p w14:paraId="08896392">
            <w:pPr>
              <w:spacing w:line="560" w:lineRule="exact"/>
              <w:ind w:firstLine="643" w:firstLineChars="200"/>
              <w:outlineLvl w:val="2"/>
              <w:rPr>
                <w:rFonts w:ascii="Times New Roman" w:hAnsi="Times New Roman" w:eastAsia="仿宋_GB2312" w:cs="Times New Roman"/>
                <w:sz w:val="32"/>
                <w:szCs w:val="40"/>
              </w:rPr>
            </w:pPr>
            <w:r>
              <w:rPr>
                <w:rFonts w:hint="eastAsia" w:ascii="Times New Roman" w:hAnsi="Times New Roman" w:eastAsia="仿宋_GB2312" w:cs="Times New Roman"/>
                <w:b/>
                <w:sz w:val="32"/>
                <w:szCs w:val="40"/>
              </w:rPr>
              <w:t>4.</w:t>
            </w:r>
            <w:r>
              <w:rPr>
                <w:rFonts w:ascii="Times New Roman" w:hAnsi="Times New Roman" w:eastAsia="仿宋_GB2312" w:cs="Times New Roman"/>
                <w:b/>
                <w:sz w:val="32"/>
                <w:szCs w:val="40"/>
              </w:rPr>
              <w:t>推动制造业绿色低碳发展。</w:t>
            </w:r>
            <w:r>
              <w:rPr>
                <w:rFonts w:ascii="Times New Roman" w:hAnsi="Times New Roman" w:eastAsia="仿宋_GB2312" w:cs="Times New Roman"/>
                <w:sz w:val="32"/>
                <w:szCs w:val="40"/>
              </w:rPr>
              <w:t>推动企业开发绿色产品，创建绿色工厂，推动企业清洁生产、港资企业“粤港清洁生产伙伴计划”，深入推进恩平工业园循环化改造。加快工业节能改造，组织实施陶瓷、纺织等行业燃煤工业锅炉（窑炉）“煤改气”、电机系统节能等节能技术改造，推进工业余热、余压、余能应用，中水（废水）回收等减排降碳工程，支持企业申报工业固体废物资源综合利用示范项目，完善提高华新水泥（恩平）固废危废综合处置中心建设。</w:t>
            </w:r>
          </w:p>
          <w:p w14:paraId="5E54EC2E">
            <w:pPr>
              <w:widowControl/>
              <w:spacing w:line="560" w:lineRule="exact"/>
              <w:ind w:firstLine="643" w:firstLineChars="200"/>
              <w:jc w:val="left"/>
              <w:rPr>
                <w:rFonts w:ascii="Times New Roman" w:hAnsi="Times New Roman" w:cs="Times New Roman"/>
                <w:kern w:val="0"/>
                <w:sz w:val="24"/>
              </w:rPr>
            </w:pPr>
            <w:r>
              <w:rPr>
                <w:rFonts w:ascii="Times New Roman" w:hAnsi="Times New Roman" w:eastAsia="仿宋_GB2312" w:cs="Times New Roman"/>
                <w:b/>
                <w:sz w:val="32"/>
                <w:szCs w:val="40"/>
              </w:rPr>
              <w:t>5.推动服务型制造创新发展。</w:t>
            </w:r>
            <w:r>
              <w:rPr>
                <w:rFonts w:ascii="Times New Roman" w:hAnsi="Times New Roman" w:eastAsia="仿宋_GB2312" w:cs="Times New Roman"/>
                <w:sz w:val="32"/>
                <w:szCs w:val="40"/>
              </w:rPr>
              <w:t>推动升泰昌·粤海（恩平）智造加速器建设，支持企业聚焦核心业务和产品，加快服务模式创新、技术创新和管理创新，鼓励企业拓展大型及关键设备的在线数据采集、运行分析、故障诊断、系统维护和设备升级等增值服务，为产业链上下游企业提供专业化、系统化、智能化的制造服务。举办“冯如杯”工业设计大赛和中国（恩平）演艺装备展销会，推进先进制造业与现代物流业、会展业、电子商务等商贸流通业融合发展。</w:t>
            </w:r>
          </w:p>
        </w:tc>
      </w:tr>
    </w:tbl>
    <w:p w14:paraId="768DBAA9">
      <w:pPr>
        <w:spacing w:line="560" w:lineRule="exact"/>
        <w:ind w:firstLine="643" w:firstLineChars="200"/>
        <w:outlineLvl w:val="1"/>
        <w:rPr>
          <w:rFonts w:ascii="Times New Roman" w:hAnsi="Times New Roman" w:eastAsia="楷体_GB2312" w:cs="Times New Roman"/>
          <w:b/>
          <w:bCs/>
          <w:sz w:val="32"/>
          <w:szCs w:val="40"/>
        </w:rPr>
      </w:pPr>
      <w:bookmarkStart w:id="91" w:name="_Toc167288478"/>
      <w:r>
        <w:rPr>
          <w:rFonts w:ascii="Times New Roman" w:hAnsi="Times New Roman" w:eastAsia="楷体_GB2312" w:cs="Times New Roman"/>
          <w:b/>
          <w:bCs/>
          <w:sz w:val="32"/>
          <w:szCs w:val="40"/>
        </w:rPr>
        <w:t>（五）强化品牌建设，提升产业品质水平</w:t>
      </w:r>
      <w:bookmarkEnd w:id="91"/>
    </w:p>
    <w:p w14:paraId="2713CEF4">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1、构建质量和可靠性服务体系</w:t>
      </w:r>
    </w:p>
    <w:p w14:paraId="028EA7D1">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围绕产业集群急需的共性技术研发、产品质量检测、计量服务等，支持建设和完善公共技术服务平台，完善广东省电声产品检验站建设，为企业提供便捷、高效、多元的技术研发、成果转化、质量管理、品质提升等公共服务。推动企业标准体系建设，支持企业参与标准化活动，对参与和主导国际、国家、行业标准的企业给予奖励。引导企业应用先进质量管理体系服务，提高产品全生命周期质量控制能力，鼓励制造业龙头企业将供应链上中小微企业纳入共同的质量、标准管理。发挥广东省电声产品检验站等公共平台作用，有针对性地实施质量义诊、质量帮扶，增强电声企业质量发展内生动力。</w:t>
      </w:r>
    </w:p>
    <w:p w14:paraId="2A815A8C">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2、着力推进恩平制造品牌建设</w:t>
      </w:r>
    </w:p>
    <w:p w14:paraId="018F40DE">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做好“品牌产品—品牌企业—品牌产业—品牌恩平”的主轴环节，着力打造点、块、面全面推进的质量品牌建设格局。建立我市质量品牌重点培育企业库，培育一批具有国内外影响力的企业品牌。支持企业创牌创优，鼓励企业参与国内、国际有影响力的品牌价值评价，培育一批区域品牌和恩平制造业自主品牌。推动特色优势产业和新兴支柱产业创品牌，充分发挥</w:t>
      </w:r>
      <w:r>
        <w:rPr>
          <w:rFonts w:ascii="Times New Roman" w:hAnsi="Times New Roman" w:eastAsia="仿宋_GB2312" w:cs="Times New Roman"/>
          <w:sz w:val="32"/>
          <w:szCs w:val="32"/>
        </w:rPr>
        <w:t>“中国麦克风行业产业基地”、“中国麦克风出口基地”、“广东省外贸转型升级示范基地”、“中国演艺装备产业基地”和“中国纳米碳酸钙产业基地”行业品牌效应</w:t>
      </w:r>
      <w:r>
        <w:rPr>
          <w:rFonts w:ascii="Times New Roman" w:hAnsi="Times New Roman" w:eastAsia="仿宋_GB2312" w:cs="Times New Roman"/>
          <w:sz w:val="32"/>
          <w:szCs w:val="40"/>
        </w:rPr>
        <w:t>，宣传“恩平质造”品牌故事，塑造“恩平品牌”榜样，打造更多金字招牌，广泛开展“中国品牌日”“质量月”等活动，提升“恩平质造”品牌知名度。</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14:paraId="394CF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8250" w:type="dxa"/>
            <w:tcBorders>
              <w:top w:val="single" w:color="auto" w:sz="4" w:space="0"/>
              <w:left w:val="single" w:color="auto" w:sz="4" w:space="0"/>
              <w:bottom w:val="single" w:color="auto" w:sz="4" w:space="0"/>
              <w:right w:val="single" w:color="auto" w:sz="4" w:space="0"/>
            </w:tcBorders>
            <w:vAlign w:val="center"/>
          </w:tcPr>
          <w:p w14:paraId="7D2E6D57">
            <w:pPr>
              <w:spacing w:line="560" w:lineRule="exact"/>
              <w:jc w:val="center"/>
              <w:rPr>
                <w:rFonts w:ascii="Times New Roman" w:hAnsi="Times New Roman" w:cs="Times New Roman"/>
                <w:kern w:val="0"/>
                <w:sz w:val="24"/>
              </w:rPr>
            </w:pPr>
            <w:r>
              <w:rPr>
                <w:rFonts w:ascii="Times New Roman" w:hAnsi="Times New Roman" w:eastAsia="黑体" w:cs="Times New Roman"/>
                <w:sz w:val="28"/>
                <w:szCs w:val="28"/>
              </w:rPr>
              <w:t>专栏11先进制造业质量品牌建设工程</w:t>
            </w:r>
          </w:p>
        </w:tc>
      </w:tr>
      <w:tr w14:paraId="3F347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0" w:type="dxa"/>
            <w:tcBorders>
              <w:top w:val="single" w:color="auto" w:sz="4" w:space="0"/>
              <w:left w:val="single" w:color="auto" w:sz="4" w:space="0"/>
              <w:bottom w:val="single" w:color="auto" w:sz="4" w:space="0"/>
              <w:right w:val="single" w:color="auto" w:sz="4" w:space="0"/>
            </w:tcBorders>
            <w:vAlign w:val="center"/>
          </w:tcPr>
          <w:p w14:paraId="692CBF3A">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1.构建制造业质量服务体系。</w:t>
            </w:r>
            <w:r>
              <w:rPr>
                <w:rFonts w:ascii="Times New Roman" w:hAnsi="Times New Roman" w:eastAsia="仿宋_GB2312" w:cs="Times New Roman"/>
                <w:sz w:val="32"/>
                <w:szCs w:val="40"/>
              </w:rPr>
              <w:t>围绕产业发展的重点领域，布局一批国家级和省级质检中心。针对产业集群的共性技术研发、计量、标准、检测、认证和知识产权等发展需求，加强公共技术服务平台建设为企业提供技术研发、成果转化、质量管理、标准认证、品质提升等服务。加强质量标准专业知识培训，鼓励企业将质量管理、标准化等基础知识作为技能型人才培训的基础课程，在大中型企业和国有企业推行首席质量官制度，遴选培育一批制造业质量标准领军人才。</w:t>
            </w:r>
          </w:p>
          <w:p w14:paraId="6450E032">
            <w:pPr>
              <w:widowControl/>
              <w:spacing w:line="560" w:lineRule="exact"/>
              <w:ind w:firstLine="643" w:firstLineChars="200"/>
              <w:jc w:val="left"/>
              <w:rPr>
                <w:rFonts w:ascii="Times New Roman" w:hAnsi="Times New Roman" w:cs="Times New Roman"/>
                <w:kern w:val="0"/>
                <w:sz w:val="24"/>
              </w:rPr>
            </w:pPr>
            <w:r>
              <w:rPr>
                <w:rFonts w:ascii="Times New Roman" w:hAnsi="Times New Roman" w:eastAsia="仿宋_GB2312" w:cs="Times New Roman"/>
                <w:b/>
                <w:sz w:val="32"/>
                <w:szCs w:val="40"/>
              </w:rPr>
              <w:t>2.提升恩平制造品牌影响力。</w:t>
            </w:r>
            <w:r>
              <w:rPr>
                <w:rFonts w:ascii="Times New Roman" w:hAnsi="Times New Roman" w:eastAsia="仿宋_GB2312" w:cs="Times New Roman"/>
                <w:sz w:val="32"/>
                <w:szCs w:val="40"/>
              </w:rPr>
              <w:t>强化品牌内涵，提高品牌文化附加值，大力宣传恩平制造品牌故事，擦亮“恩平品牌”。鼓励企业参评国家、省、江门等各级“政府质量奖”，参与国内、国际有影响力的品牌价值评价，广泛开展“中国品牌日”“质量月”等活动，组织重点企业赴国内外先进城市参加国际一流的行业展会。</w:t>
            </w:r>
          </w:p>
        </w:tc>
      </w:tr>
    </w:tbl>
    <w:p w14:paraId="02E119EA">
      <w:pPr>
        <w:spacing w:line="560" w:lineRule="exact"/>
        <w:ind w:firstLine="643" w:firstLineChars="200"/>
        <w:outlineLvl w:val="1"/>
        <w:rPr>
          <w:rFonts w:ascii="Times New Roman" w:hAnsi="Times New Roman" w:eastAsia="楷体_GB2312" w:cs="Times New Roman"/>
          <w:b/>
          <w:bCs/>
          <w:sz w:val="32"/>
          <w:szCs w:val="40"/>
        </w:rPr>
      </w:pPr>
      <w:bookmarkStart w:id="92" w:name="_Toc167288479"/>
      <w:r>
        <w:rPr>
          <w:rFonts w:ascii="Times New Roman" w:hAnsi="Times New Roman" w:eastAsia="楷体_GB2312" w:cs="Times New Roman"/>
          <w:b/>
          <w:bCs/>
          <w:sz w:val="32"/>
          <w:szCs w:val="40"/>
        </w:rPr>
        <w:t>（六）坚持开放合作，融入“双循环”新发展格局</w:t>
      </w:r>
      <w:bookmarkEnd w:id="92"/>
    </w:p>
    <w:p w14:paraId="07C9AE54">
      <w:pPr>
        <w:spacing w:line="560" w:lineRule="exact"/>
        <w:ind w:firstLine="643" w:firstLineChars="200"/>
        <w:rPr>
          <w:rFonts w:ascii="Times New Roman" w:hAnsi="Times New Roman" w:eastAsia="仿宋_GB2312" w:cs="Times New Roman"/>
          <w:b/>
          <w:sz w:val="32"/>
          <w:szCs w:val="40"/>
        </w:rPr>
      </w:pPr>
      <w:bookmarkStart w:id="93" w:name="_Toc51781917"/>
      <w:r>
        <w:rPr>
          <w:rFonts w:ascii="Times New Roman" w:hAnsi="Times New Roman" w:eastAsia="仿宋_GB2312" w:cs="Times New Roman"/>
          <w:b/>
          <w:sz w:val="32"/>
          <w:szCs w:val="40"/>
        </w:rPr>
        <w:t>1、</w:t>
      </w:r>
      <w:bookmarkEnd w:id="93"/>
      <w:r>
        <w:rPr>
          <w:rFonts w:ascii="Times New Roman" w:hAnsi="Times New Roman" w:eastAsia="仿宋_GB2312" w:cs="Times New Roman"/>
          <w:b/>
          <w:sz w:val="32"/>
          <w:szCs w:val="40"/>
        </w:rPr>
        <w:t>参与国内大循环体系</w:t>
      </w:r>
    </w:p>
    <w:p w14:paraId="1DC7EB4E">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紧抓“内外双循环”以及“双区驱动”和两个合作区建设的发展机遇，加强与大湾区城市产业联动，主动承接广州、深圳、东莞、佛山的产业溢出资源，以“广深总部+恩平基地”、“广深研发+恩平转化”模式，与广深莞佛等发达地区协同发展，强化我市产业协调配套能力。扎实抓好“建链、强链、延链、补链”工作，推动</w:t>
      </w:r>
      <w:r>
        <w:rPr>
          <w:rFonts w:hint="eastAsia" w:ascii="Times New Roman" w:hAnsi="Times New Roman" w:eastAsia="仿宋_GB2312" w:cs="Times New Roman"/>
          <w:sz w:val="32"/>
          <w:szCs w:val="40"/>
        </w:rPr>
        <w:t>高端</w:t>
      </w:r>
      <w:r>
        <w:rPr>
          <w:rFonts w:ascii="Times New Roman" w:hAnsi="Times New Roman" w:eastAsia="仿宋_GB2312" w:cs="Times New Roman"/>
          <w:sz w:val="32"/>
          <w:szCs w:val="40"/>
        </w:rPr>
        <w:t>装备</w:t>
      </w:r>
      <w:r>
        <w:rPr>
          <w:rFonts w:hint="eastAsia" w:ascii="Times New Roman" w:hAnsi="Times New Roman" w:eastAsia="仿宋_GB2312" w:cs="Times New Roman"/>
          <w:sz w:val="32"/>
          <w:szCs w:val="40"/>
        </w:rPr>
        <w:t>制造</w:t>
      </w:r>
      <w:r>
        <w:rPr>
          <w:rFonts w:ascii="Times New Roman" w:hAnsi="Times New Roman" w:eastAsia="仿宋_GB2312" w:cs="Times New Roman"/>
          <w:sz w:val="32"/>
          <w:szCs w:val="40"/>
        </w:rPr>
        <w:t>、新一代电子信息、</w:t>
      </w:r>
      <w:r>
        <w:rPr>
          <w:rFonts w:hint="eastAsia" w:ascii="Times New Roman" w:hAnsi="Times New Roman" w:eastAsia="仿宋_GB2312" w:cs="Times New Roman"/>
          <w:sz w:val="32"/>
          <w:szCs w:val="40"/>
        </w:rPr>
        <w:t>先进</w:t>
      </w:r>
      <w:r>
        <w:rPr>
          <w:rFonts w:ascii="Times New Roman" w:hAnsi="Times New Roman" w:eastAsia="仿宋_GB2312" w:cs="Times New Roman"/>
          <w:sz w:val="32"/>
          <w:szCs w:val="40"/>
        </w:rPr>
        <w:t>材料、</w:t>
      </w:r>
      <w:r>
        <w:rPr>
          <w:rFonts w:hint="eastAsia" w:ascii="Times New Roman" w:hAnsi="Times New Roman" w:eastAsia="仿宋_GB2312" w:cs="Times New Roman"/>
          <w:sz w:val="32"/>
          <w:szCs w:val="40"/>
        </w:rPr>
        <w:t>现代农业与食品</w:t>
      </w:r>
      <w:r>
        <w:rPr>
          <w:rFonts w:ascii="Times New Roman" w:hAnsi="Times New Roman" w:eastAsia="仿宋_GB2312" w:cs="Times New Roman"/>
          <w:sz w:val="32"/>
          <w:szCs w:val="40"/>
        </w:rPr>
        <w:t>等</w:t>
      </w:r>
      <w:r>
        <w:rPr>
          <w:rFonts w:hint="eastAsia" w:ascii="Times New Roman" w:hAnsi="Times New Roman" w:eastAsia="仿宋_GB2312" w:cs="Times New Roman"/>
          <w:sz w:val="32"/>
          <w:szCs w:val="40"/>
        </w:rPr>
        <w:t>战略性</w:t>
      </w:r>
      <w:r>
        <w:rPr>
          <w:rFonts w:ascii="Times New Roman" w:hAnsi="Times New Roman" w:eastAsia="仿宋_GB2312" w:cs="Times New Roman"/>
          <w:sz w:val="32"/>
          <w:szCs w:val="40"/>
        </w:rPr>
        <w:t>产业建链强链，推动陶瓷建材、纺织服装等特色优势产业延链补链，围绕重点产业链大力引进产业生态链主企业和重大项目。加强与蓬江、江海推动东西部区域平衡发展对接，深入推进完善结对协作、加强科技交流、强化产业协同等，促进资金、人才、项目等要素流动和高效集聚，增强恩平地区内生动力和“造血”功能。推动</w:t>
      </w:r>
      <w:r>
        <w:rPr>
          <w:rFonts w:ascii="Times New Roman" w:hAnsi="Times New Roman" w:eastAsia="仿宋_GB2312" w:cs="Times New Roman"/>
          <w:sz w:val="32"/>
          <w:szCs w:val="32"/>
        </w:rPr>
        <w:t>大槐集聚区产城人融合，加快产业配套市场、人才公寓、</w:t>
      </w:r>
      <w:r>
        <w:rPr>
          <w:rFonts w:ascii="Times New Roman" w:hAnsi="Times New Roman" w:eastAsia="仿宋_GB2312" w:cs="Times New Roman"/>
          <w:sz w:val="32"/>
          <w:szCs w:val="40"/>
        </w:rPr>
        <w:t>员工村</w:t>
      </w:r>
      <w:r>
        <w:rPr>
          <w:rFonts w:ascii="Times New Roman" w:hAnsi="Times New Roman" w:eastAsia="仿宋_GB2312" w:cs="Times New Roman"/>
          <w:sz w:val="32"/>
          <w:szCs w:val="32"/>
        </w:rPr>
        <w:t>等配套设施建设</w:t>
      </w:r>
      <w:r>
        <w:rPr>
          <w:rFonts w:ascii="Times New Roman" w:hAnsi="Times New Roman" w:eastAsia="仿宋_GB2312" w:cs="Times New Roman"/>
          <w:sz w:val="32"/>
          <w:szCs w:val="40"/>
        </w:rPr>
        <w:t>，完善制造业项目的投资环境服务配套。</w:t>
      </w:r>
    </w:p>
    <w:p w14:paraId="40495F37">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2、对接全球化产业链体系建设</w:t>
      </w:r>
    </w:p>
    <w:p w14:paraId="60F8DB72">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把握“内外双循环”的发展机遇，以“一带一路”建设为引领，扩充我市工业产品的内外销渠道，找准新的经济增长点。加强与发达国家、发达地区的产业关联与合作，主动融入全球化产业链体系，吸引国内外制造业企业在恩平设立公司。支持龙头企业利用香港国际金融市场优势以及服务业优势，联手港澳资源开展国际产能和装备制造合作，建立全球化生产体系和跨国供应链。</w:t>
      </w:r>
      <w:r>
        <w:rPr>
          <w:rFonts w:ascii="Times New Roman" w:hAnsi="Times New Roman" w:eastAsia="仿宋_GB2312" w:cs="Times New Roman"/>
          <w:sz w:val="32"/>
          <w:szCs w:val="32"/>
        </w:rPr>
        <w:t>推进“侨梦苑”建设，为港澳青年、海外侨胞以及中小微企业、初创企业提供技术创新、创业孵化、企业融资、创业培训等全方位全过程服务，</w:t>
      </w:r>
      <w:r>
        <w:rPr>
          <w:rFonts w:ascii="Times New Roman" w:hAnsi="Times New Roman" w:eastAsia="仿宋_GB2312" w:cs="Times New Roman"/>
          <w:sz w:val="32"/>
          <w:szCs w:val="40"/>
        </w:rPr>
        <w:t>以“侨”为“桥”引进有重大带动作用的龙头项目和强链补链延链的专精尖配套项目。</w:t>
      </w:r>
      <w:r>
        <w:rPr>
          <w:rFonts w:ascii="Times New Roman" w:hAnsi="Times New Roman" w:eastAsia="仿宋_GB2312" w:cs="Times New Roman"/>
          <w:sz w:val="32"/>
          <w:szCs w:val="32"/>
        </w:rPr>
        <w:t>抢抓RCEP重要机遇，用好原产地规则，深化与RCEP成员国的服务贸易和产业合作。</w:t>
      </w:r>
      <w:r>
        <w:rPr>
          <w:rFonts w:ascii="Times New Roman" w:hAnsi="Times New Roman" w:eastAsia="仿宋_GB2312" w:cs="Times New Roman"/>
          <w:sz w:val="32"/>
          <w:szCs w:val="40"/>
        </w:rPr>
        <w:t>开展“走出去”政策宣传推广，组织企业参加省、江门市举办的境外投资推介会及政策宣讲会，有针对性地做好重点投资地区和国家的相关政策法规、技术标准、行业规范、市场准入等信息的收集和发布，为我市“走出去”企业提供政策支持，提升风险防范能力。</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14:paraId="1236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8250" w:type="dxa"/>
            <w:tcBorders>
              <w:top w:val="single" w:color="auto" w:sz="4" w:space="0"/>
              <w:left w:val="single" w:color="auto" w:sz="4" w:space="0"/>
              <w:bottom w:val="single" w:color="auto" w:sz="4" w:space="0"/>
              <w:right w:val="single" w:color="auto" w:sz="4" w:space="0"/>
            </w:tcBorders>
            <w:vAlign w:val="center"/>
          </w:tcPr>
          <w:p w14:paraId="72561786">
            <w:pPr>
              <w:spacing w:line="560" w:lineRule="exact"/>
              <w:jc w:val="center"/>
              <w:rPr>
                <w:rFonts w:ascii="Times New Roman" w:hAnsi="Times New Roman" w:cs="Times New Roman"/>
                <w:kern w:val="0"/>
                <w:sz w:val="24"/>
              </w:rPr>
            </w:pPr>
            <w:r>
              <w:rPr>
                <w:rFonts w:ascii="Times New Roman" w:hAnsi="Times New Roman" w:eastAsia="黑体" w:cs="Times New Roman"/>
                <w:sz w:val="28"/>
                <w:szCs w:val="28"/>
              </w:rPr>
              <w:t>专栏12先进制造业开放合作工程</w:t>
            </w:r>
          </w:p>
        </w:tc>
      </w:tr>
      <w:tr w14:paraId="2E0E6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0" w:type="dxa"/>
            <w:tcBorders>
              <w:top w:val="single" w:color="auto" w:sz="4" w:space="0"/>
              <w:left w:val="single" w:color="auto" w:sz="4" w:space="0"/>
              <w:bottom w:val="single" w:color="auto" w:sz="4" w:space="0"/>
              <w:right w:val="single" w:color="auto" w:sz="4" w:space="0"/>
            </w:tcBorders>
            <w:vAlign w:val="center"/>
          </w:tcPr>
          <w:p w14:paraId="254601E2">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1.实施产业招商行动。</w:t>
            </w:r>
            <w:r>
              <w:rPr>
                <w:rFonts w:ascii="Times New Roman" w:hAnsi="Times New Roman" w:eastAsia="仿宋_GB2312" w:cs="Times New Roman"/>
                <w:sz w:val="32"/>
                <w:szCs w:val="40"/>
              </w:rPr>
              <w:t>完善异地招商机制，发挥“1+3+N”大作战招商体制作用，聚焦产业集群发展，着力补链强链。围绕</w:t>
            </w:r>
            <w:r>
              <w:rPr>
                <w:rFonts w:hint="eastAsia" w:ascii="Times New Roman" w:hAnsi="Times New Roman" w:eastAsia="仿宋_GB2312" w:cs="Times New Roman"/>
                <w:sz w:val="32"/>
                <w:szCs w:val="40"/>
              </w:rPr>
              <w:t>高端</w:t>
            </w:r>
            <w:r>
              <w:rPr>
                <w:rFonts w:ascii="Times New Roman" w:hAnsi="Times New Roman" w:eastAsia="仿宋_GB2312" w:cs="Times New Roman"/>
                <w:sz w:val="32"/>
                <w:szCs w:val="40"/>
              </w:rPr>
              <w:t>装备</w:t>
            </w:r>
            <w:r>
              <w:rPr>
                <w:rFonts w:hint="eastAsia" w:ascii="Times New Roman" w:hAnsi="Times New Roman" w:eastAsia="仿宋_GB2312" w:cs="Times New Roman"/>
                <w:sz w:val="32"/>
                <w:szCs w:val="40"/>
              </w:rPr>
              <w:t>制造</w:t>
            </w:r>
            <w:r>
              <w:rPr>
                <w:rFonts w:ascii="Times New Roman" w:hAnsi="Times New Roman" w:eastAsia="仿宋_GB2312" w:cs="Times New Roman"/>
                <w:sz w:val="32"/>
                <w:szCs w:val="40"/>
              </w:rPr>
              <w:t>、新一代电子信息、先进材料和</w:t>
            </w:r>
            <w:r>
              <w:rPr>
                <w:rFonts w:hint="eastAsia" w:ascii="Times New Roman" w:hAnsi="Times New Roman" w:eastAsia="仿宋_GB2312" w:cs="Times New Roman"/>
                <w:sz w:val="32"/>
                <w:szCs w:val="40"/>
              </w:rPr>
              <w:t>现代农业与食品</w:t>
            </w:r>
            <w:r>
              <w:rPr>
                <w:rFonts w:ascii="Times New Roman" w:hAnsi="Times New Roman" w:eastAsia="仿宋_GB2312" w:cs="Times New Roman"/>
                <w:sz w:val="32"/>
                <w:szCs w:val="40"/>
              </w:rPr>
              <w:t>等</w:t>
            </w:r>
            <w:r>
              <w:rPr>
                <w:rFonts w:hint="eastAsia" w:ascii="Times New Roman" w:hAnsi="Times New Roman" w:eastAsia="仿宋_GB2312" w:cs="Times New Roman"/>
                <w:sz w:val="32"/>
                <w:szCs w:val="40"/>
              </w:rPr>
              <w:t>战略性</w:t>
            </w:r>
            <w:r>
              <w:rPr>
                <w:rFonts w:ascii="Times New Roman" w:hAnsi="Times New Roman" w:eastAsia="仿宋_GB2312" w:cs="Times New Roman"/>
                <w:sz w:val="32"/>
                <w:szCs w:val="40"/>
              </w:rPr>
              <w:t>产业领域，开展产业招商、精准招商、敲门招商、以商引商。扎实抓好“建链、强链、延链、补链”，坚持招大商、抓龙头、育集群，有针对性地引进一批能带动产业链上下游发展的头部企业和关键项目。发挥“链主”企业的带动作用，引进不同产业链的共有核心配套企业落户我市。推进低效产业用地整治，推进低效产业用地整治提升，保障产业项目落地建设。探索建立招商项目准入评审机制，加强产业项目把关，提高招引项目质量。</w:t>
            </w:r>
          </w:p>
          <w:p w14:paraId="1CBDA953">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2.全力支持企业“走出去”。</w:t>
            </w:r>
            <w:r>
              <w:rPr>
                <w:rFonts w:ascii="Times New Roman" w:hAnsi="Times New Roman" w:eastAsia="仿宋_GB2312" w:cs="Times New Roman"/>
                <w:sz w:val="32"/>
                <w:szCs w:val="40"/>
              </w:rPr>
              <w:t>支持引导龙头企业利用港澳国际金融市场优势以及服务业优势，联手港澳资源开展国际产能和装备制造合作，建立全球化生产体系和跨国供应链。加强“走出去”政策宣传推广，组织企业参加省、江门举办的境外投资推介会及政策宣讲会，有针对性地做好重点投资地区和国家的相关政策法规、技术标准、行业规范、市场准入等信息的收集和发布，为我市“走出去”企业提供政策支持，提升企业风险防范能力。引导企业参与“一带一路”沿线国家的国际营销网络建设，大力宣传国家、省及市有关外贸扶持政策，推动企业赴境外参展，帮助企业多渠道开拓国际市场。</w:t>
            </w:r>
          </w:p>
        </w:tc>
      </w:tr>
      <w:bookmarkEnd w:id="88"/>
      <w:bookmarkEnd w:id="89"/>
      <w:bookmarkEnd w:id="90"/>
    </w:tbl>
    <w:p w14:paraId="43714520">
      <w:pPr>
        <w:spacing w:line="560" w:lineRule="exact"/>
        <w:ind w:firstLine="643" w:firstLineChars="200"/>
        <w:outlineLvl w:val="1"/>
        <w:rPr>
          <w:rFonts w:ascii="Times New Roman" w:hAnsi="Times New Roman" w:eastAsia="楷体_GB2312" w:cs="Times New Roman"/>
          <w:b/>
          <w:bCs/>
          <w:sz w:val="32"/>
          <w:szCs w:val="40"/>
        </w:rPr>
      </w:pPr>
      <w:bookmarkStart w:id="94" w:name="_Toc9028"/>
      <w:bookmarkStart w:id="95" w:name="_Toc27766"/>
      <w:bookmarkStart w:id="96" w:name="_Toc51589576"/>
      <w:bookmarkStart w:id="97" w:name="_Toc167288480"/>
      <w:r>
        <w:rPr>
          <w:rFonts w:ascii="Times New Roman" w:hAnsi="Times New Roman" w:eastAsia="楷体_GB2312" w:cs="Times New Roman"/>
          <w:b/>
          <w:bCs/>
          <w:sz w:val="32"/>
          <w:szCs w:val="40"/>
        </w:rPr>
        <w:t>（七）强化要素供给，构建制造业发展</w:t>
      </w:r>
      <w:bookmarkEnd w:id="94"/>
      <w:bookmarkEnd w:id="95"/>
      <w:bookmarkEnd w:id="96"/>
      <w:r>
        <w:rPr>
          <w:rFonts w:ascii="Times New Roman" w:hAnsi="Times New Roman" w:eastAsia="楷体_GB2312" w:cs="Times New Roman"/>
          <w:b/>
          <w:bCs/>
          <w:sz w:val="32"/>
          <w:szCs w:val="40"/>
        </w:rPr>
        <w:t>保障体系</w:t>
      </w:r>
      <w:bookmarkEnd w:id="97"/>
    </w:p>
    <w:p w14:paraId="7415F450">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1、强化人才要素支撑作用</w:t>
      </w:r>
    </w:p>
    <w:p w14:paraId="71C6060A">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bCs/>
          <w:sz w:val="32"/>
          <w:szCs w:val="32"/>
        </w:rPr>
        <w:t>加强产业人才队伍建设，</w:t>
      </w:r>
      <w:r>
        <w:rPr>
          <w:rFonts w:ascii="Times New Roman" w:hAnsi="Times New Roman" w:eastAsia="仿宋_GB2312" w:cs="Times New Roman"/>
          <w:sz w:val="32"/>
          <w:szCs w:val="40"/>
        </w:rPr>
        <w:t>大力培育和弘扬“劳模精神”、“工匠精神”、“企业家精神”、“创新精神”、“诚信精神”等新时代中国特色工业精神，营造制造强市的发展环境。加大人才培训载体建设，支持企业自主建立技能人才培训基地，建设技能大师工作室。</w:t>
      </w:r>
      <w:r>
        <w:rPr>
          <w:rFonts w:hint="eastAsia" w:ascii="Times New Roman" w:hAnsi="Times New Roman" w:eastAsia="仿宋_GB2312" w:cs="Times New Roman"/>
          <w:bCs/>
          <w:sz w:val="32"/>
          <w:szCs w:val="32"/>
        </w:rPr>
        <w:t>积极引进高端领军人才和团队，推动建设一批博士博士后载体平台</w:t>
      </w:r>
      <w:r>
        <w:rPr>
          <w:rFonts w:ascii="Times New Roman" w:hAnsi="Times New Roman" w:eastAsia="仿宋_GB2312" w:cs="Times New Roman"/>
          <w:sz w:val="32"/>
          <w:szCs w:val="40"/>
        </w:rPr>
        <w:t>。搭建先进制造业人才交流引育平台，建立校地人才供需和人才信息收集发布及对接工作机制。推进“广东技工”工程，实施新生代产业工人培养、企业职工适岗专业培训、新型学徒培养等技能提升工程，开展智能制造企业职工轮训，推进国际职业资格认证与企业技能人才评价。</w:t>
      </w:r>
      <w:r>
        <w:rPr>
          <w:rFonts w:ascii="Times New Roman" w:hAnsi="Times New Roman" w:eastAsia="仿宋_GB2312" w:cs="Times New Roman"/>
          <w:bCs/>
          <w:sz w:val="32"/>
          <w:szCs w:val="32"/>
        </w:rPr>
        <w:t>大力发展职业技术教育，开展职业技能培训。</w:t>
      </w:r>
      <w:r>
        <w:rPr>
          <w:rFonts w:ascii="Times New Roman" w:hAnsi="Times New Roman" w:eastAsia="仿宋_GB2312" w:cs="Times New Roman"/>
          <w:sz w:val="32"/>
          <w:szCs w:val="32"/>
        </w:rPr>
        <w:t>深化校地人才合作，培育更多高技能、紧缺型、创新型“技能大师”“技术能手”。</w:t>
      </w:r>
    </w:p>
    <w:p w14:paraId="668FA44E">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2、落实财政金融扶持措施</w:t>
      </w:r>
    </w:p>
    <w:p w14:paraId="61FB50D8">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加大力度引进各类金融机构，不断提高和完善我市金融供给，丰富我市金融供给的主体和方式，支持各类基金投向制造领域，优化“政银保”合作模式。</w:t>
      </w:r>
      <w:r>
        <w:rPr>
          <w:rFonts w:ascii="Times New Roman" w:hAnsi="Times New Roman" w:eastAsia="仿宋_GB2312" w:cs="Times New Roman"/>
          <w:sz w:val="32"/>
          <w:szCs w:val="32"/>
        </w:rPr>
        <w:t>实施差异化信贷政策，提高我市制造业中长期融资比重，重点支持企业技术改造、技术创新和产品研发等核心竞争力提升。发挥财政资金的引领作用，吸引大湾区内的基金参与我市先进制造业企业融资。</w:t>
      </w:r>
      <w:r>
        <w:rPr>
          <w:rFonts w:ascii="Times New Roman" w:hAnsi="Times New Roman" w:eastAsia="仿宋_GB2312" w:cs="Times New Roman"/>
          <w:sz w:val="32"/>
          <w:szCs w:val="40"/>
        </w:rPr>
        <w:t>拓展我市制造业企业融资方式，落实企业上市奖励政策，推动符合条件的制造业企业向境外融资和上市融资。推动金融科技创新，鼓励我市金融机构运用大数据、区块链等金融科技，提升审贷效率，提高制造业企业获贷的便利性和时效性。</w:t>
      </w:r>
    </w:p>
    <w:p w14:paraId="321EEFCB">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3、完善产业用地保障机制</w:t>
      </w:r>
    </w:p>
    <w:p w14:paraId="6A60FC84">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32"/>
        </w:rPr>
        <w:t>加强新增工业用地保障，对于省、江门市重点先进制造业项目给予用地指标支持，优先保障主导产业、重大工业项目用地和纳税大户企业扩大规模用地，根据项目投资强度、产出强度和税收强度，实施灵活的土地供给政策。对于投资额较大、占地面积较多的项目，采用整体规划、分期建设、分期供地的模式保障项目用地需求；对于投资额度较少、增长潜力较大的项目采取租赁标准厂房或者先租后让、弹性年期出让等方式降低企业用地成本，解决用地需求。</w:t>
      </w:r>
      <w:r>
        <w:fldChar w:fldCharType="begin"/>
      </w:r>
      <w:r>
        <w:instrText xml:space="preserve"> HYPERLINK "https://www.baidu.com/link?url=oMMR0sQ-EEqtVMDomKHIczGhp_58-qyDPLZFMtmdXr84YBKKYxquQzCCt-AluxXTdlwUBwufo3qV0-vm8MS1RLBs_Cu51m94IzKuHPj1lCu&amp;wd=&amp;eqid=c9e805fb00045b0d000000065f11843c" </w:instrText>
      </w:r>
      <w:r>
        <w:fldChar w:fldCharType="separate"/>
      </w:r>
      <w:r>
        <w:rPr>
          <w:rFonts w:ascii="Times New Roman" w:hAnsi="Times New Roman" w:eastAsia="仿宋_GB2312" w:cs="Times New Roman"/>
          <w:bCs/>
          <w:sz w:val="32"/>
          <w:szCs w:val="32"/>
        </w:rPr>
        <w:t>盘活低效产业用地资源</w:t>
      </w:r>
      <w:r>
        <w:rPr>
          <w:rFonts w:ascii="Times New Roman" w:hAnsi="Times New Roman" w:eastAsia="仿宋_GB2312" w:cs="Times New Roman"/>
          <w:bCs/>
          <w:sz w:val="32"/>
          <w:szCs w:val="32"/>
        </w:rPr>
        <w:fldChar w:fldCharType="end"/>
      </w:r>
      <w:r>
        <w:rPr>
          <w:rFonts w:ascii="Times New Roman" w:hAnsi="Times New Roman" w:eastAsia="仿宋_GB2312" w:cs="Times New Roman"/>
          <w:sz w:val="32"/>
          <w:szCs w:val="32"/>
        </w:rPr>
        <w:t>，充分挖掘企业内部土地空间潜力，鼓励企业利用闲置厂房、预留用地及改扩建等方式增资扩产，提高土地综合效益。</w:t>
      </w:r>
    </w:p>
    <w:p w14:paraId="3BFF3774">
      <w:pPr>
        <w:spacing w:line="560" w:lineRule="exact"/>
        <w:ind w:firstLine="643" w:firstLineChars="200"/>
        <w:outlineLvl w:val="2"/>
        <w:rPr>
          <w:rFonts w:ascii="Times New Roman" w:hAnsi="Times New Roman" w:eastAsia="仿宋_GB2312" w:cs="Times New Roman"/>
          <w:b/>
          <w:sz w:val="32"/>
          <w:szCs w:val="40"/>
        </w:rPr>
      </w:pPr>
      <w:r>
        <w:rPr>
          <w:rFonts w:ascii="Times New Roman" w:hAnsi="Times New Roman" w:eastAsia="仿宋_GB2312" w:cs="Times New Roman"/>
          <w:b/>
          <w:sz w:val="32"/>
          <w:szCs w:val="40"/>
        </w:rPr>
        <w:t>4、深化机制改革与流程优化</w:t>
      </w:r>
    </w:p>
    <w:p w14:paraId="68459257">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32"/>
          <w:lang w:val="zh-TW"/>
        </w:rPr>
        <w:t>积极推进投资贸易便利化、群众办事便利化，更大程度激发市场活力和社会创造力，</w:t>
      </w:r>
      <w:r>
        <w:rPr>
          <w:rFonts w:ascii="Times New Roman" w:hAnsi="Times New Roman" w:eastAsia="仿宋_GB2312" w:cs="Times New Roman"/>
          <w:sz w:val="32"/>
          <w:szCs w:val="32"/>
        </w:rPr>
        <w:t>主动衔接粤港澳大湾区先进标准和国际经贸规则，打</w:t>
      </w:r>
      <w:r>
        <w:rPr>
          <w:rFonts w:ascii="Times New Roman" w:hAnsi="Times New Roman" w:eastAsia="仿宋_GB2312" w:cs="Times New Roman"/>
          <w:sz w:val="32"/>
          <w:szCs w:val="40"/>
        </w:rPr>
        <w:t>造市场化、法治化、国际化、便利化的营商环境</w:t>
      </w:r>
      <w:r>
        <w:rPr>
          <w:rFonts w:ascii="Times New Roman" w:hAnsi="Times New Roman" w:eastAsia="仿宋_GB2312" w:cs="Times New Roman"/>
          <w:sz w:val="32"/>
          <w:szCs w:val="32"/>
        </w:rPr>
        <w:t>。</w:t>
      </w:r>
      <w:r>
        <w:rPr>
          <w:rFonts w:ascii="Times New Roman" w:hAnsi="Times New Roman" w:eastAsia="仿宋_GB2312" w:cs="Times New Roman"/>
          <w:sz w:val="32"/>
          <w:szCs w:val="40"/>
        </w:rPr>
        <w:t>深化“放管服”改革，</w:t>
      </w:r>
      <w:r>
        <w:rPr>
          <w:rFonts w:ascii="Times New Roman" w:hAnsi="Times New Roman" w:eastAsia="仿宋_GB2312" w:cs="Times New Roman"/>
          <w:sz w:val="32"/>
          <w:szCs w:val="32"/>
        </w:rPr>
        <w:t>重点破解“准入”“准营”和“退出”的机制障碍，推进</w:t>
      </w:r>
      <w:r>
        <w:rPr>
          <w:rFonts w:ascii="Times New Roman" w:hAnsi="Times New Roman" w:eastAsia="仿宋_GB2312" w:cs="Times New Roman"/>
          <w:sz w:val="32"/>
          <w:szCs w:val="32"/>
          <w:lang w:val="zh-TW"/>
        </w:rPr>
        <w:t>“多证合一”</w:t>
      </w:r>
      <w:r>
        <w:rPr>
          <w:rFonts w:ascii="Times New Roman" w:hAnsi="Times New Roman" w:eastAsia="仿宋_GB2312" w:cs="Times New Roman"/>
          <w:sz w:val="32"/>
          <w:szCs w:val="32"/>
        </w:rPr>
        <w:t>“证照分离”“照后减证”。</w:t>
      </w:r>
      <w:r>
        <w:rPr>
          <w:rFonts w:ascii="Times New Roman" w:hAnsi="Times New Roman" w:eastAsia="仿宋_GB2312" w:cs="Times New Roman"/>
          <w:sz w:val="32"/>
          <w:szCs w:val="32"/>
          <w:lang w:val="zh-TW"/>
        </w:rPr>
        <w:t>加快推动“数字政府”市</w:t>
      </w:r>
      <w:r>
        <w:rPr>
          <w:rFonts w:ascii="Times New Roman" w:hAnsi="Times New Roman" w:eastAsia="仿宋_GB2312" w:cs="Times New Roman"/>
          <w:sz w:val="32"/>
          <w:szCs w:val="32"/>
        </w:rPr>
        <w:t>镇</w:t>
      </w:r>
      <w:r>
        <w:rPr>
          <w:rFonts w:ascii="Times New Roman" w:hAnsi="Times New Roman" w:eastAsia="仿宋_GB2312" w:cs="Times New Roman"/>
          <w:sz w:val="32"/>
          <w:szCs w:val="32"/>
          <w:lang w:val="zh-TW"/>
        </w:rPr>
        <w:t>一体化建设，建设“互联网</w:t>
      </w:r>
      <w:r>
        <w:rPr>
          <w:rFonts w:ascii="Times New Roman" w:hAnsi="Times New Roman" w:eastAsia="仿宋_GB2312" w:cs="Times New Roman"/>
          <w:sz w:val="32"/>
          <w:szCs w:val="32"/>
          <w:lang w:val="zh-TW" w:eastAsia="zh-TW"/>
        </w:rPr>
        <w:t>+</w:t>
      </w:r>
      <w:r>
        <w:rPr>
          <w:rFonts w:ascii="Times New Roman" w:hAnsi="Times New Roman" w:eastAsia="仿宋_GB2312" w:cs="Times New Roman"/>
          <w:sz w:val="32"/>
          <w:szCs w:val="32"/>
          <w:lang w:val="zh-TW"/>
        </w:rPr>
        <w:t>政务服务”体系</w:t>
      </w:r>
      <w:r>
        <w:rPr>
          <w:rFonts w:ascii="Times New Roman" w:hAnsi="Times New Roman" w:eastAsia="仿宋_GB2312" w:cs="Times New Roman"/>
          <w:sz w:val="32"/>
          <w:szCs w:val="32"/>
        </w:rPr>
        <w:t>，</w:t>
      </w:r>
      <w:r>
        <w:rPr>
          <w:rFonts w:ascii="Times New Roman" w:hAnsi="Times New Roman" w:eastAsia="仿宋_GB2312" w:cs="Times New Roman"/>
          <w:sz w:val="32"/>
          <w:szCs w:val="40"/>
        </w:rPr>
        <w:t>加快推进商事登记全流程智能办、网上办、随时办、就近办。</w:t>
      </w:r>
      <w:r>
        <w:rPr>
          <w:rFonts w:ascii="Times New Roman" w:hAnsi="Times New Roman" w:eastAsia="仿宋_GB2312" w:cs="Times New Roman"/>
          <w:sz w:val="32"/>
          <w:szCs w:val="32"/>
        </w:rPr>
        <w:t>深化市场监管综合改革，全面推行“</w:t>
      </w:r>
      <w:r>
        <w:rPr>
          <w:rFonts w:hint="eastAsia" w:ascii="Times New Roman" w:hAnsi="Times New Roman" w:eastAsia="仿宋_GB2312" w:cs="Times New Roman"/>
          <w:sz w:val="32"/>
          <w:szCs w:val="32"/>
          <w:lang w:eastAsia="zh-CN"/>
        </w:rPr>
        <w:t>双随机、</w:t>
      </w:r>
      <w:bookmarkStart w:id="147" w:name="_GoBack"/>
      <w:bookmarkEnd w:id="147"/>
      <w:r>
        <w:rPr>
          <w:rFonts w:hint="eastAsia" w:ascii="Times New Roman" w:hAnsi="Times New Roman" w:eastAsia="仿宋_GB2312" w:cs="Times New Roman"/>
          <w:sz w:val="32"/>
          <w:szCs w:val="32"/>
          <w:lang w:eastAsia="zh-CN"/>
        </w:rPr>
        <w:t>一公开</w:t>
      </w:r>
      <w:r>
        <w:rPr>
          <w:rFonts w:ascii="Times New Roman" w:hAnsi="Times New Roman" w:eastAsia="仿宋_GB2312" w:cs="Times New Roman"/>
          <w:sz w:val="32"/>
          <w:szCs w:val="32"/>
        </w:rPr>
        <w:t>”和“互联网+监管”，强化事中事后监管平台建设。及时落实国家税费优惠政策，</w:t>
      </w:r>
      <w:r>
        <w:rPr>
          <w:rFonts w:ascii="Times New Roman" w:hAnsi="Times New Roman" w:eastAsia="仿宋_GB2312" w:cs="Times New Roman"/>
          <w:sz w:val="32"/>
          <w:szCs w:val="40"/>
        </w:rPr>
        <w:t>加大政策宣传和解读力度，帮助制造业企业用足用好政策，确保各项减税降费政策落地生根、见实见效。</w:t>
      </w:r>
      <w:r>
        <w:rPr>
          <w:rFonts w:ascii="Times New Roman" w:hAnsi="Times New Roman" w:eastAsia="仿宋_GB2312" w:cs="Times New Roman"/>
          <w:sz w:val="32"/>
          <w:szCs w:val="32"/>
          <w:lang w:val="zh-TW" w:eastAsia="zh-TW"/>
        </w:rPr>
        <w:t>推进投资项目审批</w:t>
      </w:r>
      <w:r>
        <w:rPr>
          <w:rFonts w:ascii="Times New Roman" w:hAnsi="Times New Roman" w:eastAsia="仿宋_GB2312" w:cs="Times New Roman"/>
          <w:sz w:val="32"/>
          <w:szCs w:val="32"/>
          <w:lang w:val="zh-TW"/>
        </w:rPr>
        <w:t>制度改革，优化审批流程，大力推进并联审批、联合审查</w:t>
      </w:r>
      <w:r>
        <w:rPr>
          <w:rFonts w:ascii="Times New Roman" w:hAnsi="Times New Roman" w:eastAsia="仿宋_GB2312" w:cs="Times New Roman"/>
          <w:sz w:val="32"/>
          <w:szCs w:val="32"/>
          <w:lang w:val="zh-TW" w:eastAsia="zh-TW"/>
        </w:rPr>
        <w:t>。</w:t>
      </w:r>
      <w:r>
        <w:rPr>
          <w:rFonts w:ascii="Times New Roman" w:hAnsi="Times New Roman" w:eastAsia="仿宋_GB2312" w:cs="Times New Roman"/>
          <w:sz w:val="32"/>
          <w:szCs w:val="40"/>
        </w:rPr>
        <w:t>深入推进投资承诺制改革，发动企业参与承诺制试点，加强对企业投资项目承诺制信用监管，确保项目按照承诺的内容建设。</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14:paraId="43228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8250" w:type="dxa"/>
            <w:tcBorders>
              <w:top w:val="single" w:color="auto" w:sz="4" w:space="0"/>
              <w:left w:val="single" w:color="auto" w:sz="4" w:space="0"/>
              <w:bottom w:val="single" w:color="auto" w:sz="4" w:space="0"/>
              <w:right w:val="single" w:color="auto" w:sz="4" w:space="0"/>
            </w:tcBorders>
            <w:vAlign w:val="center"/>
          </w:tcPr>
          <w:p w14:paraId="3DF6DAB1">
            <w:pPr>
              <w:spacing w:line="560" w:lineRule="exact"/>
              <w:jc w:val="center"/>
              <w:rPr>
                <w:rFonts w:ascii="Times New Roman" w:hAnsi="Times New Roman" w:cs="Times New Roman"/>
                <w:kern w:val="0"/>
                <w:sz w:val="24"/>
              </w:rPr>
            </w:pPr>
            <w:r>
              <w:rPr>
                <w:rFonts w:ascii="Times New Roman" w:hAnsi="Times New Roman" w:eastAsia="黑体" w:cs="Times New Roman"/>
                <w:sz w:val="28"/>
                <w:szCs w:val="28"/>
              </w:rPr>
              <w:t>专栏1</w:t>
            </w:r>
            <w:r>
              <w:rPr>
                <w:rFonts w:hint="eastAsia" w:ascii="Times New Roman" w:hAnsi="Times New Roman" w:eastAsia="黑体" w:cs="Times New Roman"/>
                <w:sz w:val="28"/>
                <w:szCs w:val="28"/>
              </w:rPr>
              <w:t>3</w:t>
            </w:r>
            <w:r>
              <w:rPr>
                <w:rFonts w:ascii="Times New Roman" w:hAnsi="Times New Roman" w:eastAsia="黑体" w:cs="Times New Roman"/>
                <w:sz w:val="28"/>
                <w:szCs w:val="28"/>
              </w:rPr>
              <w:t>先进制造业要素保障工程</w:t>
            </w:r>
          </w:p>
        </w:tc>
      </w:tr>
      <w:tr w14:paraId="30E1B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0" w:type="dxa"/>
            <w:tcBorders>
              <w:top w:val="single" w:color="auto" w:sz="4" w:space="0"/>
              <w:left w:val="single" w:color="auto" w:sz="4" w:space="0"/>
              <w:bottom w:val="single" w:color="auto" w:sz="4" w:space="0"/>
              <w:right w:val="single" w:color="auto" w:sz="4" w:space="0"/>
            </w:tcBorders>
            <w:vAlign w:val="center"/>
          </w:tcPr>
          <w:p w14:paraId="29719FFE">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1.打造制造业发展人才支撑体系。</w:t>
            </w:r>
            <w:r>
              <w:rPr>
                <w:rFonts w:ascii="Times New Roman" w:hAnsi="Times New Roman" w:eastAsia="仿宋_GB2312" w:cs="Times New Roman"/>
                <w:sz w:val="32"/>
                <w:szCs w:val="40"/>
              </w:rPr>
              <w:t>大力引进和培育高层次人才，积极参与江门“百名博士引进工程”等急需紧缺人才引进培育计划，推进博士、博士后人才引进工作。不断完善“产业+平台+项目+人才”联动机制，推动招商引资和招才引智同频共振、互相促进，让高精尖人才引得进、留得住、用得好。推进“广东技工”工程，支持企业自主建立技能人才培训评价基地，鼓励企业推行职业技能等级认定建设技能大师工作室，全面推进新生代产业工人培养、企业职工技能提升、新型学徒培养，完善职业院校、技工院校校企合作办学模式，构建产教融合发展格局。深化与五邑大学、广州大学、贺州学院、江门市技师学院和江门职业技术学院等高校推进产学研合作和产教融合发展，</w:t>
            </w:r>
            <w:r>
              <w:rPr>
                <w:rFonts w:hint="eastAsia" w:ascii="Times New Roman" w:hAnsi="Times New Roman" w:eastAsia="仿宋_GB2312" w:cs="Times New Roman"/>
                <w:sz w:val="32"/>
                <w:szCs w:val="40"/>
              </w:rPr>
              <w:t>用好江门市技师学院恩平智造学院的自主培养平台以及加快推进江门职业技术学院冯如学院（恩平）建设</w:t>
            </w:r>
            <w:r>
              <w:rPr>
                <w:rFonts w:ascii="Times New Roman" w:hAnsi="Times New Roman" w:eastAsia="仿宋_GB2312" w:cs="Times New Roman"/>
                <w:sz w:val="32"/>
                <w:szCs w:val="40"/>
              </w:rPr>
              <w:t>，推动园区、企业、学校多方资源共享、优势互补，以“需求对接+量身订制+送‘技’进企”等多种形式为工业园区企业精准开展技能培训，为制造业高质量发展培养高素质技术技能人才。</w:t>
            </w:r>
          </w:p>
          <w:p w14:paraId="2C2D549A">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2.提升制造业项目金融支撑。</w:t>
            </w:r>
            <w:r>
              <w:rPr>
                <w:rFonts w:ascii="Times New Roman" w:hAnsi="Times New Roman" w:eastAsia="仿宋_GB2312" w:cs="Times New Roman"/>
                <w:sz w:val="32"/>
                <w:szCs w:val="40"/>
              </w:rPr>
              <w:t>优化“政银保”合作模式提高我市制造业中长期融资比重，重点支持企业技术改造、技术创新和产品研发。鼓励金融机构为制造业产业链核心企业提供保理、国际国内信用证等供应链金融业务。用好“金舱”工作机制，筛选正在开工建设的制造业项目入舱储备，加强与金融机构的对接，引入基金、证券、银行等金融机构，搭建市场化和专业化平台，促成金融机构与重点优质项目实施主体有效对接投融资需求。实施“金种子”行动计划，积极引导企业对接境内外资本市场，推动更多企业上市做大做强。完善科技金融服务体系，鼓励我市银行设立科技支行，加大科技金融扶持资金贷款贴息力度，进一步降低科技型中小微企业融资成本。</w:t>
            </w:r>
          </w:p>
          <w:p w14:paraId="6611EEB9">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3.加强制造业项目用地保障。</w:t>
            </w:r>
            <w:r>
              <w:rPr>
                <w:rFonts w:ascii="Times New Roman" w:hAnsi="Times New Roman" w:eastAsia="仿宋_GB2312" w:cs="Times New Roman"/>
                <w:sz w:val="32"/>
                <w:szCs w:val="40"/>
              </w:rPr>
              <w:t>积极争取省、江门对我市重大项目建设用地的支持，对于省、市重点先进制造业项目给予用地指标支持，优先保障主导产业、重大工业项目用地和纳税大户企业增资扩产用地，根据项目投资强度、产出强度和税收强度，实施灵活的土地供给政策。对于投资超过50亿元、符合投资强度和供地等相关条件的重大项目，实行全额用地指标保障对于投资额较大、占地面积较多的项目，采用“整体规划、分期建设分期供地”模式保障项目用地需求；对于投资额度较少、增长潜力较大的项目采取租赁标准厂房或者先租后让、弹性年期出让等方式降低企业用地成本，解决用地需求。推进低效产业用地整治提升，化解制造业用地不足的矛盾。</w:t>
            </w:r>
          </w:p>
          <w:p w14:paraId="52E923A4">
            <w:pPr>
              <w:widowControl/>
              <w:spacing w:line="560" w:lineRule="exact"/>
              <w:ind w:firstLine="643" w:firstLineChars="200"/>
              <w:jc w:val="left"/>
              <w:rPr>
                <w:rFonts w:ascii="Times New Roman" w:hAnsi="Times New Roman" w:eastAsia="仿宋_GB2312" w:cs="Times New Roman"/>
                <w:sz w:val="32"/>
                <w:szCs w:val="40"/>
              </w:rPr>
            </w:pPr>
            <w:r>
              <w:rPr>
                <w:rFonts w:ascii="Times New Roman" w:hAnsi="Times New Roman" w:eastAsia="仿宋_GB2312" w:cs="Times New Roman"/>
                <w:b/>
                <w:sz w:val="32"/>
                <w:szCs w:val="40"/>
              </w:rPr>
              <w:t>4.强化企业服务提质增效。</w:t>
            </w:r>
            <w:r>
              <w:rPr>
                <w:rFonts w:ascii="Times New Roman" w:hAnsi="Times New Roman" w:eastAsia="仿宋_GB2312" w:cs="Times New Roman"/>
                <w:sz w:val="32"/>
                <w:szCs w:val="40"/>
              </w:rPr>
              <w:t>衔接粤港澳大湾区先进标准和国际经贸规则，打造市场化、法治化、国际化、便利化的营商环境，实施“清单式”管理为港澳资企业排忧解难。抓好减税降费政策落实，不折不扣落实好国家税费减免政策，围绕用工、用水、用电、用气、物流以及进出口费用等方面切实降低企业资源要素成本。深化市场主体登记改革工作，优化市场主体准入和退出机制，全力确保企业开办一天办结，大力推进“全程网办”“智能办理”和“执照自助打印”。加强政府服务标准化建设，构建“网购式”“场景式”“导办式”服务模式，深化“一网通办”。拓展电子证照、电子印章在网上办事中的应用，加快推动实现“四少一快”。用好“粤省事”“粤商通”等粤系列移动应用平台，持续提升政务服务自助终端服务便利化水平。充分运用大数据和人工智能，深化商事主体登记“微信+智能审批”，全力打造全数字化“掌上政府”和“智慧大脑”。规范工程建设领域中介市场，推进网上中介超市建设运营。</w:t>
            </w:r>
          </w:p>
        </w:tc>
      </w:tr>
    </w:tbl>
    <w:p w14:paraId="409D165E">
      <w:pPr>
        <w:spacing w:line="560" w:lineRule="exact"/>
        <w:ind w:firstLine="640" w:firstLineChars="200"/>
        <w:rPr>
          <w:rFonts w:ascii="Times New Roman" w:hAnsi="Times New Roman" w:eastAsia="仿宋_GB2312" w:cs="Times New Roman"/>
          <w:sz w:val="32"/>
          <w:szCs w:val="40"/>
        </w:rPr>
      </w:pPr>
    </w:p>
    <w:p w14:paraId="2431452C">
      <w:pPr>
        <w:pStyle w:val="2"/>
        <w:spacing w:before="0" w:after="0" w:line="560" w:lineRule="exact"/>
        <w:ind w:firstLine="643" w:firstLineChars="200"/>
        <w:rPr>
          <w:rFonts w:ascii="Times New Roman" w:hAnsi="Times New Roman" w:eastAsia="黑体" w:cs="Times New Roman"/>
          <w:sz w:val="32"/>
        </w:rPr>
      </w:pPr>
      <w:bookmarkStart w:id="98" w:name="_Toc167288481"/>
      <w:r>
        <w:rPr>
          <w:rFonts w:hint="eastAsia" w:ascii="Times New Roman" w:hAnsi="Times New Roman" w:eastAsia="黑体" w:cs="Times New Roman"/>
          <w:sz w:val="32"/>
        </w:rPr>
        <w:t>六</w:t>
      </w:r>
      <w:r>
        <w:rPr>
          <w:rFonts w:ascii="Times New Roman" w:hAnsi="Times New Roman" w:eastAsia="黑体" w:cs="Times New Roman"/>
          <w:sz w:val="32"/>
        </w:rPr>
        <w:t>、产业发展平台</w:t>
      </w:r>
      <w:r>
        <w:rPr>
          <w:rFonts w:hint="eastAsia" w:ascii="Times New Roman" w:hAnsi="Times New Roman" w:eastAsia="黑体" w:cs="Times New Roman"/>
          <w:sz w:val="32"/>
        </w:rPr>
        <w:t>布局</w:t>
      </w:r>
      <w:bookmarkEnd w:id="98"/>
    </w:p>
    <w:p w14:paraId="029A130E">
      <w:pPr>
        <w:spacing w:line="560" w:lineRule="exact"/>
        <w:ind w:firstLine="643" w:firstLineChars="200"/>
        <w:outlineLvl w:val="1"/>
        <w:rPr>
          <w:rFonts w:ascii="Times New Roman" w:hAnsi="Times New Roman" w:eastAsia="楷体_GB2312" w:cs="Times New Roman"/>
          <w:b/>
          <w:bCs/>
          <w:sz w:val="32"/>
          <w:szCs w:val="40"/>
        </w:rPr>
      </w:pPr>
      <w:bookmarkStart w:id="99" w:name="_Toc167288482"/>
      <w:r>
        <w:rPr>
          <w:rFonts w:hint="eastAsia" w:ascii="Times New Roman" w:hAnsi="Times New Roman" w:eastAsia="楷体_GB2312" w:cs="Times New Roman"/>
          <w:b/>
          <w:bCs/>
          <w:sz w:val="32"/>
          <w:szCs w:val="40"/>
        </w:rPr>
        <w:t>（一）发展空间规划布局</w:t>
      </w:r>
      <w:bookmarkEnd w:id="99"/>
    </w:p>
    <w:p w14:paraId="65549CFC">
      <w:pPr>
        <w:spacing w:line="560" w:lineRule="exact"/>
        <w:ind w:firstLine="640" w:firstLineChars="200"/>
        <w:rPr>
          <w:rFonts w:ascii="Times New Roman" w:hAnsi="Times New Roman" w:eastAsia="仿宋_GB2312" w:cs="Times New Roman"/>
          <w:sz w:val="32"/>
          <w:szCs w:val="40"/>
        </w:rPr>
      </w:pPr>
      <w:bookmarkStart w:id="100" w:name="_Hlk46417919"/>
      <w:bookmarkStart w:id="101" w:name="_Hlk46225000"/>
      <w:r>
        <w:rPr>
          <w:rFonts w:ascii="Times New Roman" w:hAnsi="Times New Roman" w:eastAsia="仿宋_GB2312" w:cs="Times New Roman"/>
          <w:sz w:val="32"/>
          <w:szCs w:val="40"/>
        </w:rPr>
        <w:t>遵循全市在构建“一核、两轴、三区”发展新格局、以打造宜居宜业宜游生态示范城市为前提基础，以恩平工业园和325国道沿途镇（街）、276省道横陂镇为重点区域，依托</w:t>
      </w:r>
      <w:r>
        <w:rPr>
          <w:rFonts w:hint="eastAsia" w:ascii="Times New Roman" w:hAnsi="Times New Roman" w:eastAsia="仿宋_GB2312" w:cs="Times New Roman"/>
          <w:sz w:val="32"/>
          <w:szCs w:val="40"/>
        </w:rPr>
        <w:t>核心片区、东成新龙片区、东成高铁片区</w:t>
      </w:r>
      <w:r>
        <w:rPr>
          <w:rFonts w:ascii="Times New Roman" w:hAnsi="Times New Roman" w:eastAsia="仿宋_GB2312" w:cs="Times New Roman"/>
          <w:sz w:val="32"/>
          <w:szCs w:val="40"/>
        </w:rPr>
        <w:t>等重点平台，按照传统产业与</w:t>
      </w:r>
      <w:r>
        <w:rPr>
          <w:rFonts w:hint="eastAsia" w:ascii="Times New Roman" w:hAnsi="Times New Roman" w:eastAsia="仿宋_GB2312" w:cs="Times New Roman"/>
          <w:sz w:val="32"/>
          <w:szCs w:val="40"/>
        </w:rPr>
        <w:t>战略性</w:t>
      </w:r>
      <w:r>
        <w:rPr>
          <w:rFonts w:ascii="Times New Roman" w:hAnsi="Times New Roman" w:eastAsia="仿宋_GB2312" w:cs="Times New Roman"/>
          <w:sz w:val="32"/>
          <w:szCs w:val="40"/>
        </w:rPr>
        <w:t>产业协同发展的思路，推动以先进制造业集群构建“一核两轴三区”的空间发展布局。发挥“一核”的辐射带动作用，</w:t>
      </w:r>
      <w:bookmarkStart w:id="102" w:name="_Hlk46501342"/>
      <w:r>
        <w:rPr>
          <w:rFonts w:ascii="Times New Roman" w:hAnsi="Times New Roman" w:eastAsia="仿宋_GB2312" w:cs="Times New Roman"/>
          <w:sz w:val="32"/>
          <w:szCs w:val="40"/>
        </w:rPr>
        <w:t>以“两轴”把全市重点发展平台串联成珠，三区联动协调发展，支撑先进制造业集聚发展，实现全方位优化拓展产业空间，高效合理配置产业资源。</w:t>
      </w:r>
      <w:bookmarkEnd w:id="100"/>
      <w:bookmarkEnd w:id="102"/>
      <w:bookmarkStart w:id="103" w:name="_Toc13454"/>
      <w:bookmarkStart w:id="104" w:name="_Toc3628"/>
      <w:bookmarkStart w:id="105" w:name="_Toc51589566"/>
      <w:bookmarkStart w:id="106" w:name="_Hlk46417960"/>
    </w:p>
    <w:p w14:paraId="557B7628">
      <w:pPr>
        <w:pStyle w:val="34"/>
        <w:ind w:firstLine="643"/>
        <w:rPr>
          <w:b/>
        </w:rPr>
      </w:pPr>
      <w:bookmarkStart w:id="107" w:name="_Toc161305288"/>
      <w:r>
        <w:rPr>
          <w:rFonts w:hint="eastAsia"/>
          <w:b/>
        </w:rPr>
        <w:t>1、</w:t>
      </w:r>
      <w:r>
        <w:rPr>
          <w:b/>
        </w:rPr>
        <w:t>一</w:t>
      </w:r>
      <w:bookmarkEnd w:id="103"/>
      <w:bookmarkEnd w:id="104"/>
      <w:bookmarkEnd w:id="105"/>
      <w:r>
        <w:rPr>
          <w:b/>
        </w:rPr>
        <w:t>核引领</w:t>
      </w:r>
      <w:bookmarkEnd w:id="107"/>
    </w:p>
    <w:p w14:paraId="4D208085">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以恩平工业园为主阵地，</w:t>
      </w:r>
      <w:bookmarkEnd w:id="106"/>
      <w:r>
        <w:rPr>
          <w:rFonts w:ascii="Times New Roman" w:hAnsi="Times New Roman" w:eastAsia="仿宋_GB2312" w:cs="Times New Roman"/>
          <w:sz w:val="32"/>
          <w:szCs w:val="40"/>
        </w:rPr>
        <w:t>依托产业转移区、圣堂集聚区、大槐集聚区集聚发展平台，</w:t>
      </w:r>
      <w:bookmarkStart w:id="108" w:name="_Hlk46417974"/>
      <w:r>
        <w:rPr>
          <w:rFonts w:ascii="Times New Roman" w:hAnsi="Times New Roman" w:eastAsia="仿宋_GB2312" w:cs="Times New Roman"/>
          <w:sz w:val="32"/>
          <w:szCs w:val="40"/>
        </w:rPr>
        <w:t>构建全市先进制造业创新中心和生产性服务中心，主动衔接广佛深莞产业创新资源和高端服务业资源，加强对接广深港澳科技创新走廊建设，重点推动核心技术的</w:t>
      </w:r>
      <w:bookmarkStart w:id="109" w:name="_Hlk46418025"/>
      <w:r>
        <w:rPr>
          <w:rFonts w:ascii="Times New Roman" w:hAnsi="Times New Roman" w:eastAsia="仿宋_GB2312" w:cs="Times New Roman"/>
          <w:sz w:val="32"/>
          <w:szCs w:val="40"/>
        </w:rPr>
        <w:t>研发和产业化，前沿布局未来产业，引进总部经济升级发展生产性服务</w:t>
      </w:r>
      <w:bookmarkEnd w:id="109"/>
      <w:r>
        <w:rPr>
          <w:rFonts w:ascii="Times New Roman" w:hAnsi="Times New Roman" w:eastAsia="仿宋_GB2312" w:cs="Times New Roman"/>
          <w:sz w:val="32"/>
          <w:szCs w:val="40"/>
        </w:rPr>
        <w:t>业，推动全市先进制造业整体提升。依托已有产业基础，重点发展</w:t>
      </w:r>
      <w:r>
        <w:rPr>
          <w:rFonts w:hint="eastAsia" w:ascii="Times New Roman" w:hAnsi="Times New Roman" w:eastAsia="仿宋_GB2312" w:cs="Times New Roman"/>
          <w:sz w:val="32"/>
          <w:szCs w:val="40"/>
        </w:rPr>
        <w:t>高端</w:t>
      </w:r>
      <w:r>
        <w:rPr>
          <w:rFonts w:ascii="Times New Roman" w:hAnsi="Times New Roman" w:eastAsia="仿宋_GB2312" w:cs="Times New Roman"/>
          <w:sz w:val="32"/>
          <w:szCs w:val="40"/>
        </w:rPr>
        <w:t>装备制造、</w:t>
      </w:r>
      <w:r>
        <w:rPr>
          <w:rFonts w:hint="eastAsia" w:ascii="Times New Roman" w:hAnsi="Times New Roman" w:eastAsia="仿宋_GB2312" w:cs="Times New Roman"/>
          <w:sz w:val="32"/>
          <w:szCs w:val="40"/>
        </w:rPr>
        <w:t>新一代电子信息</w:t>
      </w: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rPr>
        <w:t>先进</w:t>
      </w:r>
      <w:r>
        <w:rPr>
          <w:rFonts w:ascii="Times New Roman" w:hAnsi="Times New Roman" w:eastAsia="仿宋_GB2312" w:cs="Times New Roman"/>
          <w:sz w:val="32"/>
          <w:szCs w:val="40"/>
        </w:rPr>
        <w:t>材料</w:t>
      </w:r>
      <w:r>
        <w:rPr>
          <w:rFonts w:hint="eastAsia" w:ascii="Times New Roman" w:hAnsi="Times New Roman" w:eastAsia="仿宋_GB2312" w:cs="Times New Roman"/>
          <w:sz w:val="32"/>
          <w:szCs w:val="40"/>
        </w:rPr>
        <w:t>、现代农业与食品</w:t>
      </w:r>
      <w:r>
        <w:rPr>
          <w:rFonts w:ascii="Times New Roman" w:hAnsi="Times New Roman" w:eastAsia="仿宋_GB2312" w:cs="Times New Roman"/>
          <w:sz w:val="32"/>
          <w:szCs w:val="40"/>
        </w:rPr>
        <w:t>等</w:t>
      </w:r>
      <w:r>
        <w:rPr>
          <w:rFonts w:hint="eastAsia" w:ascii="Times New Roman" w:hAnsi="Times New Roman" w:eastAsia="仿宋_GB2312" w:cs="Times New Roman"/>
          <w:sz w:val="32"/>
          <w:szCs w:val="40"/>
        </w:rPr>
        <w:t>战略性</w:t>
      </w:r>
      <w:r>
        <w:rPr>
          <w:rFonts w:ascii="Times New Roman" w:hAnsi="Times New Roman" w:eastAsia="仿宋_GB2312" w:cs="Times New Roman"/>
          <w:sz w:val="32"/>
          <w:szCs w:val="40"/>
        </w:rPr>
        <w:t>产业。</w:t>
      </w:r>
    </w:p>
    <w:bookmarkEnd w:id="101"/>
    <w:bookmarkEnd w:id="108"/>
    <w:p w14:paraId="09FDDFE0">
      <w:pPr>
        <w:pStyle w:val="34"/>
        <w:ind w:firstLine="643"/>
        <w:rPr>
          <w:b/>
        </w:rPr>
      </w:pPr>
      <w:bookmarkStart w:id="110" w:name="_Toc25926"/>
      <w:bookmarkStart w:id="111" w:name="_Toc13377"/>
      <w:bookmarkStart w:id="112" w:name="_Toc51589567"/>
      <w:bookmarkStart w:id="113" w:name="_Toc161305289"/>
      <w:r>
        <w:rPr>
          <w:rFonts w:hint="eastAsia"/>
          <w:b/>
        </w:rPr>
        <w:t>2、</w:t>
      </w:r>
      <w:r>
        <w:rPr>
          <w:b/>
        </w:rPr>
        <w:t>两</w:t>
      </w:r>
      <w:bookmarkEnd w:id="110"/>
      <w:bookmarkEnd w:id="111"/>
      <w:bookmarkEnd w:id="112"/>
      <w:r>
        <w:rPr>
          <w:b/>
        </w:rPr>
        <w:t>轴串联</w:t>
      </w:r>
      <w:bookmarkEnd w:id="113"/>
    </w:p>
    <w:p w14:paraId="40BABBCA">
      <w:pPr>
        <w:spacing w:line="560" w:lineRule="exact"/>
        <w:ind w:firstLine="643" w:firstLineChars="200"/>
        <w:rPr>
          <w:rFonts w:ascii="Times New Roman" w:hAnsi="Times New Roman" w:eastAsia="仿宋_GB2312" w:cs="Times New Roman"/>
          <w:sz w:val="32"/>
          <w:szCs w:val="40"/>
        </w:rPr>
      </w:pPr>
      <w:bookmarkStart w:id="114" w:name="_Hlk46418056"/>
      <w:r>
        <w:rPr>
          <w:rFonts w:ascii="Times New Roman" w:hAnsi="Times New Roman" w:eastAsia="仿宋_GB2312" w:cs="Times New Roman"/>
          <w:b/>
          <w:bCs/>
          <w:sz w:val="32"/>
          <w:szCs w:val="40"/>
        </w:rPr>
        <w:t>恩平325国道先进制造业集聚带</w:t>
      </w:r>
      <w:r>
        <w:rPr>
          <w:rFonts w:ascii="Times New Roman" w:hAnsi="Times New Roman" w:eastAsia="仿宋_GB2312" w:cs="Times New Roman"/>
          <w:sz w:val="32"/>
          <w:szCs w:val="40"/>
        </w:rPr>
        <w:t>。以325国道恩平段沿线为主干道，以沙湖陶瓷集聚区、君堂纺织服装集聚区、圣堂中星工业区、大槐六家松工业区等为重点载体，依托已有产业基础，重点发展</w:t>
      </w:r>
      <w:r>
        <w:rPr>
          <w:rFonts w:hint="eastAsia" w:ascii="Times New Roman" w:hAnsi="Times New Roman" w:eastAsia="仿宋_GB2312" w:cs="Times New Roman"/>
          <w:sz w:val="32"/>
          <w:szCs w:val="40"/>
        </w:rPr>
        <w:t>先进</w:t>
      </w:r>
      <w:r>
        <w:rPr>
          <w:rFonts w:ascii="Times New Roman" w:hAnsi="Times New Roman" w:eastAsia="仿宋_GB2312" w:cs="Times New Roman"/>
          <w:sz w:val="32"/>
          <w:szCs w:val="40"/>
        </w:rPr>
        <w:t>材料等</w:t>
      </w:r>
      <w:r>
        <w:rPr>
          <w:rFonts w:hint="eastAsia" w:ascii="Times New Roman" w:hAnsi="Times New Roman" w:eastAsia="仿宋_GB2312" w:cs="Times New Roman"/>
          <w:sz w:val="32"/>
          <w:szCs w:val="40"/>
        </w:rPr>
        <w:t>战略性</w:t>
      </w:r>
      <w:r>
        <w:rPr>
          <w:rFonts w:ascii="Times New Roman" w:hAnsi="Times New Roman" w:eastAsia="仿宋_GB2312" w:cs="Times New Roman"/>
          <w:sz w:val="32"/>
          <w:szCs w:val="40"/>
        </w:rPr>
        <w:t>产业，</w:t>
      </w:r>
      <w:r>
        <w:rPr>
          <w:rFonts w:hint="eastAsia" w:ascii="Times New Roman" w:hAnsi="Times New Roman" w:eastAsia="仿宋_GB2312" w:cs="Times New Roman"/>
          <w:sz w:val="32"/>
          <w:szCs w:val="40"/>
        </w:rPr>
        <w:t>巩固</w:t>
      </w:r>
      <w:r>
        <w:rPr>
          <w:rFonts w:ascii="Times New Roman" w:hAnsi="Times New Roman" w:eastAsia="仿宋_GB2312" w:cs="Times New Roman"/>
          <w:sz w:val="32"/>
          <w:szCs w:val="40"/>
        </w:rPr>
        <w:t>提升建筑陶瓷、纺织服装等特色优势产业。</w:t>
      </w:r>
    </w:p>
    <w:p w14:paraId="179932C7">
      <w:pPr>
        <w:spacing w:line="560" w:lineRule="exact"/>
        <w:ind w:firstLine="643" w:firstLineChars="200"/>
        <w:rPr>
          <w:rFonts w:ascii="Times New Roman" w:hAnsi="Times New Roman" w:eastAsia="仿宋_GB2312" w:cs="Times New Roman"/>
          <w:sz w:val="32"/>
          <w:szCs w:val="40"/>
        </w:rPr>
      </w:pPr>
      <w:r>
        <w:rPr>
          <w:rFonts w:ascii="Times New Roman" w:hAnsi="Times New Roman" w:eastAsia="仿宋_GB2312" w:cs="Times New Roman"/>
          <w:b/>
          <w:bCs/>
          <w:sz w:val="32"/>
          <w:szCs w:val="40"/>
        </w:rPr>
        <w:t>恩平276省道先进制造业集聚带</w:t>
      </w:r>
      <w:r>
        <w:rPr>
          <w:rFonts w:ascii="Times New Roman" w:hAnsi="Times New Roman" w:eastAsia="仿宋_GB2312" w:cs="Times New Roman"/>
          <w:sz w:val="32"/>
          <w:szCs w:val="40"/>
        </w:rPr>
        <w:t>。以276横陂路段沿线为主干道，以横陂陶瓷集聚区、临港工业区等为重点载体，依托已有产业基础，主动承接粤港澳大湾区核心区的产业转移和项目溢出，引进发展</w:t>
      </w:r>
      <w:r>
        <w:rPr>
          <w:rFonts w:hint="eastAsia" w:ascii="Times New Roman" w:hAnsi="Times New Roman" w:eastAsia="仿宋_GB2312" w:cs="Times New Roman"/>
          <w:sz w:val="32"/>
          <w:szCs w:val="40"/>
        </w:rPr>
        <w:t>先进</w:t>
      </w:r>
      <w:r>
        <w:rPr>
          <w:rFonts w:ascii="Times New Roman" w:hAnsi="Times New Roman" w:eastAsia="仿宋_GB2312" w:cs="Times New Roman"/>
          <w:sz w:val="32"/>
          <w:szCs w:val="40"/>
        </w:rPr>
        <w:t>材料等</w:t>
      </w:r>
      <w:r>
        <w:rPr>
          <w:rFonts w:hint="eastAsia" w:ascii="Times New Roman" w:hAnsi="Times New Roman" w:eastAsia="仿宋_GB2312" w:cs="Times New Roman"/>
          <w:sz w:val="32"/>
          <w:szCs w:val="40"/>
        </w:rPr>
        <w:t>战略性</w:t>
      </w:r>
      <w:r>
        <w:rPr>
          <w:rFonts w:ascii="Times New Roman" w:hAnsi="Times New Roman" w:eastAsia="仿宋_GB2312" w:cs="Times New Roman"/>
          <w:sz w:val="32"/>
          <w:szCs w:val="40"/>
        </w:rPr>
        <w:t>产业项目，优化提升建筑陶瓷等特色优势产业。</w:t>
      </w:r>
    </w:p>
    <w:p w14:paraId="0AC928B7">
      <w:pPr>
        <w:pStyle w:val="34"/>
        <w:ind w:firstLine="643"/>
        <w:rPr>
          <w:b/>
        </w:rPr>
      </w:pPr>
      <w:bookmarkStart w:id="115" w:name="_Toc161305290"/>
      <w:r>
        <w:rPr>
          <w:b/>
        </w:rPr>
        <w:t>3</w:t>
      </w:r>
      <w:r>
        <w:rPr>
          <w:rFonts w:hint="eastAsia"/>
          <w:b/>
        </w:rPr>
        <w:t>、</w:t>
      </w:r>
      <w:r>
        <w:rPr>
          <w:b/>
        </w:rPr>
        <w:t>三区联动</w:t>
      </w:r>
      <w:bookmarkEnd w:id="115"/>
    </w:p>
    <w:p w14:paraId="5D10DD7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产业生态化和生态产业化的基本路径，以南部核心城镇区、西部城镇旅游区、北部城镇发展区的市域协调发展格局。南部核心城镇区包括中心城区、大槐镇，增强对全市的服务功能，配合恩平工业园承接珠三角核心区产业转移，大力发展先进制造业；同时充分发挥中心城区作为全市中心腹地的集聚辐射作用，着重发展</w:t>
      </w:r>
      <w:r>
        <w:rPr>
          <w:rFonts w:hint="eastAsia" w:ascii="Times New Roman" w:hAnsi="Times New Roman" w:eastAsia="仿宋_GB2312" w:cs="Times New Roman"/>
          <w:sz w:val="32"/>
          <w:szCs w:val="32"/>
        </w:rPr>
        <w:t>生产性服务业、</w:t>
      </w:r>
      <w:r>
        <w:rPr>
          <w:rFonts w:ascii="Times New Roman" w:hAnsi="Times New Roman" w:eastAsia="仿宋_GB2312" w:cs="Times New Roman"/>
          <w:sz w:val="32"/>
          <w:szCs w:val="32"/>
        </w:rPr>
        <w:t>现代物流业和商贸业，将其建设为全市乃至粤西地区的商贸物流中心。西部城镇旅游区包括那吉、大田、良西3个</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加快温泉旅游区建设，打造恩平温泉旅游服务品牌。北部城镇发展区包括君堂、沙湖、牛江3个镇，以沙湖镇为区域中心，在保护生态资源的前提下，优先发展工业及农副产品加工业。推动良西镇、大田镇、那吉镇等生态旅游镇建设。</w:t>
      </w:r>
    </w:p>
    <w:bookmarkEnd w:id="114"/>
    <w:p w14:paraId="3181B1DE">
      <w:pPr>
        <w:spacing w:line="560" w:lineRule="exact"/>
        <w:ind w:right="-74"/>
        <w:jc w:val="center"/>
        <w:rPr>
          <w:rFonts w:ascii="Times New Roman" w:hAnsi="Times New Roman" w:cs="Times New Roman"/>
          <w:b/>
          <w:sz w:val="24"/>
          <w:szCs w:val="28"/>
        </w:rPr>
      </w:pPr>
      <w:r>
        <w:rPr>
          <w:rFonts w:ascii="Times New Roman" w:hAnsi="Times New Roman" w:cs="Times New Roman"/>
          <w:b/>
          <w:sz w:val="24"/>
          <w:szCs w:val="28"/>
        </w:rPr>
        <w:t>表2恩平市先进制造业发展导向</w:t>
      </w:r>
    </w:p>
    <w:tbl>
      <w:tblPr>
        <w:tblStyle w:val="2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54"/>
        <w:gridCol w:w="1418"/>
        <w:gridCol w:w="4536"/>
        <w:gridCol w:w="1865"/>
      </w:tblGrid>
      <w:tr w14:paraId="2B66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812" w:type="dxa"/>
            <w:shd w:val="clear" w:color="auto" w:fill="auto"/>
            <w:vAlign w:val="center"/>
          </w:tcPr>
          <w:p w14:paraId="3FF3AA2F">
            <w:pPr>
              <w:spacing w:line="560" w:lineRule="exact"/>
              <w:jc w:val="center"/>
              <w:rPr>
                <w:rFonts w:ascii="Times New Roman" w:hAnsi="Times New Roman" w:cs="Times New Roman"/>
                <w:b/>
                <w:kern w:val="0"/>
                <w:sz w:val="24"/>
              </w:rPr>
            </w:pPr>
            <w:bookmarkStart w:id="116" w:name="_Hlk49430747"/>
            <w:r>
              <w:rPr>
                <w:rFonts w:ascii="Times New Roman" w:hAnsi="Times New Roman" w:cs="Times New Roman"/>
                <w:b/>
                <w:kern w:val="0"/>
                <w:sz w:val="24"/>
              </w:rPr>
              <w:t>序号</w:t>
            </w:r>
          </w:p>
        </w:tc>
        <w:tc>
          <w:tcPr>
            <w:tcW w:w="1254" w:type="dxa"/>
            <w:shd w:val="clear" w:color="auto" w:fill="auto"/>
            <w:vAlign w:val="center"/>
          </w:tcPr>
          <w:p w14:paraId="387EA80E">
            <w:pPr>
              <w:spacing w:line="560" w:lineRule="exact"/>
              <w:jc w:val="center"/>
              <w:rPr>
                <w:rFonts w:ascii="Times New Roman" w:hAnsi="Times New Roman" w:cs="Times New Roman"/>
                <w:b/>
                <w:kern w:val="0"/>
                <w:sz w:val="24"/>
              </w:rPr>
            </w:pPr>
            <w:r>
              <w:rPr>
                <w:rFonts w:ascii="Times New Roman" w:hAnsi="Times New Roman" w:cs="Times New Roman"/>
                <w:b/>
                <w:kern w:val="0"/>
                <w:sz w:val="24"/>
              </w:rPr>
              <w:t>产业平台</w:t>
            </w:r>
          </w:p>
        </w:tc>
        <w:tc>
          <w:tcPr>
            <w:tcW w:w="1418" w:type="dxa"/>
            <w:shd w:val="clear" w:color="auto" w:fill="auto"/>
            <w:vAlign w:val="center"/>
          </w:tcPr>
          <w:p w14:paraId="6B590232">
            <w:pPr>
              <w:spacing w:line="560" w:lineRule="exact"/>
              <w:jc w:val="center"/>
              <w:rPr>
                <w:rFonts w:ascii="Times New Roman" w:hAnsi="Times New Roman" w:cs="Times New Roman"/>
                <w:b/>
                <w:kern w:val="0"/>
                <w:sz w:val="24"/>
              </w:rPr>
            </w:pPr>
            <w:r>
              <w:rPr>
                <w:rFonts w:ascii="Times New Roman" w:hAnsi="Times New Roman" w:cs="Times New Roman"/>
                <w:b/>
                <w:kern w:val="0"/>
                <w:sz w:val="24"/>
              </w:rPr>
              <w:t>属地</w:t>
            </w:r>
          </w:p>
        </w:tc>
        <w:tc>
          <w:tcPr>
            <w:tcW w:w="4536" w:type="dxa"/>
            <w:shd w:val="clear" w:color="auto" w:fill="auto"/>
            <w:vAlign w:val="center"/>
          </w:tcPr>
          <w:p w14:paraId="6F9AEABB">
            <w:pPr>
              <w:spacing w:line="560" w:lineRule="exact"/>
              <w:jc w:val="center"/>
              <w:rPr>
                <w:rFonts w:ascii="Times New Roman" w:hAnsi="Times New Roman" w:cs="Times New Roman"/>
                <w:b/>
                <w:kern w:val="0"/>
                <w:sz w:val="24"/>
              </w:rPr>
            </w:pPr>
            <w:r>
              <w:rPr>
                <w:rFonts w:ascii="Times New Roman" w:hAnsi="Times New Roman" w:cs="Times New Roman"/>
                <w:b/>
                <w:kern w:val="0"/>
                <w:sz w:val="24"/>
              </w:rPr>
              <w:t>重点发展方向</w:t>
            </w:r>
          </w:p>
        </w:tc>
        <w:tc>
          <w:tcPr>
            <w:tcW w:w="1865" w:type="dxa"/>
            <w:shd w:val="clear" w:color="auto" w:fill="auto"/>
            <w:vAlign w:val="center"/>
          </w:tcPr>
          <w:p w14:paraId="7FF6330F">
            <w:pPr>
              <w:spacing w:line="560" w:lineRule="exact"/>
              <w:jc w:val="center"/>
              <w:rPr>
                <w:rFonts w:ascii="Times New Roman" w:hAnsi="Times New Roman" w:cs="Times New Roman"/>
                <w:b/>
                <w:kern w:val="0"/>
                <w:sz w:val="24"/>
              </w:rPr>
            </w:pPr>
            <w:r>
              <w:rPr>
                <w:rFonts w:ascii="Times New Roman" w:hAnsi="Times New Roman" w:cs="Times New Roman"/>
                <w:b/>
                <w:kern w:val="0"/>
                <w:sz w:val="24"/>
              </w:rPr>
              <w:t>空间布局</w:t>
            </w:r>
          </w:p>
        </w:tc>
      </w:tr>
      <w:tr w14:paraId="0E8F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812" w:type="dxa"/>
            <w:vAlign w:val="center"/>
          </w:tcPr>
          <w:p w14:paraId="26648480">
            <w:pPr>
              <w:jc w:val="center"/>
              <w:rPr>
                <w:rFonts w:ascii="Times New Roman" w:hAnsi="Times New Roman" w:cs="Times New Roman"/>
                <w:kern w:val="0"/>
                <w:sz w:val="24"/>
              </w:rPr>
            </w:pPr>
            <w:r>
              <w:rPr>
                <w:rFonts w:ascii="Times New Roman" w:hAnsi="Times New Roman" w:cs="Times New Roman"/>
                <w:kern w:val="0"/>
                <w:sz w:val="24"/>
              </w:rPr>
              <w:t>1</w:t>
            </w:r>
          </w:p>
        </w:tc>
        <w:tc>
          <w:tcPr>
            <w:tcW w:w="1254" w:type="dxa"/>
            <w:vAlign w:val="center"/>
          </w:tcPr>
          <w:p w14:paraId="70A64E54">
            <w:pPr>
              <w:jc w:val="center"/>
              <w:rPr>
                <w:rFonts w:ascii="Times New Roman" w:hAnsi="Times New Roman" w:cs="Times New Roman"/>
                <w:kern w:val="0"/>
                <w:sz w:val="24"/>
              </w:rPr>
            </w:pPr>
            <w:r>
              <w:rPr>
                <w:rFonts w:ascii="Times New Roman" w:hAnsi="Times New Roman" w:cs="Times New Roman"/>
                <w:kern w:val="0"/>
                <w:sz w:val="24"/>
              </w:rPr>
              <w:t>恩平工业园区</w:t>
            </w:r>
          </w:p>
        </w:tc>
        <w:tc>
          <w:tcPr>
            <w:tcW w:w="1418" w:type="dxa"/>
            <w:vAlign w:val="center"/>
          </w:tcPr>
          <w:p w14:paraId="3684FED6">
            <w:pPr>
              <w:jc w:val="center"/>
              <w:rPr>
                <w:rFonts w:ascii="Times New Roman" w:hAnsi="Times New Roman" w:cs="Times New Roman"/>
                <w:kern w:val="0"/>
                <w:sz w:val="24"/>
              </w:rPr>
            </w:pPr>
            <w:r>
              <w:rPr>
                <w:rFonts w:hint="eastAsia" w:ascii="Times New Roman" w:hAnsi="Times New Roman" w:cs="Times New Roman"/>
                <w:kern w:val="0"/>
                <w:sz w:val="24"/>
              </w:rPr>
              <w:t>恩平工业园</w:t>
            </w:r>
          </w:p>
        </w:tc>
        <w:tc>
          <w:tcPr>
            <w:tcW w:w="4536" w:type="dxa"/>
            <w:vAlign w:val="center"/>
          </w:tcPr>
          <w:p w14:paraId="58CE09EC">
            <w:pPr>
              <w:jc w:val="left"/>
              <w:rPr>
                <w:rFonts w:ascii="Times New Roman" w:hAnsi="Times New Roman" w:cs="Times New Roman"/>
                <w:kern w:val="0"/>
                <w:sz w:val="24"/>
              </w:rPr>
            </w:pPr>
            <w:r>
              <w:rPr>
                <w:rFonts w:ascii="Times New Roman" w:hAnsi="Times New Roman" w:cs="Times New Roman"/>
                <w:kern w:val="0"/>
                <w:sz w:val="24"/>
              </w:rPr>
              <w:t>工作母机和智能机器人，包装机械装备，配电与环保装备，演艺装备，智能家电，软件和信息服务，新能源电池材料、机械装备材料、纺织医疗材料等材</w:t>
            </w:r>
            <w:r>
              <w:rPr>
                <w:rFonts w:hint="eastAsia" w:ascii="Times New Roman" w:hAnsi="Times New Roman" w:cs="Times New Roman"/>
                <w:kern w:val="0"/>
                <w:sz w:val="24"/>
              </w:rPr>
              <w:t>先进</w:t>
            </w:r>
            <w:r>
              <w:rPr>
                <w:rFonts w:ascii="Times New Roman" w:hAnsi="Times New Roman" w:cs="Times New Roman"/>
                <w:kern w:val="0"/>
                <w:sz w:val="24"/>
              </w:rPr>
              <w:t>料，纺织服装，健康食品</w:t>
            </w:r>
          </w:p>
        </w:tc>
        <w:tc>
          <w:tcPr>
            <w:tcW w:w="1865" w:type="dxa"/>
            <w:vAlign w:val="center"/>
          </w:tcPr>
          <w:p w14:paraId="1ECED0D8">
            <w:pPr>
              <w:jc w:val="left"/>
              <w:rPr>
                <w:rFonts w:ascii="Times New Roman" w:hAnsi="Times New Roman" w:cs="Times New Roman"/>
                <w:kern w:val="0"/>
                <w:sz w:val="24"/>
              </w:rPr>
            </w:pPr>
            <w:r>
              <w:rPr>
                <w:rFonts w:ascii="Times New Roman" w:hAnsi="Times New Roman" w:cs="Times New Roman"/>
                <w:kern w:val="0"/>
                <w:sz w:val="24"/>
              </w:rPr>
              <w:t>先进制造业创新中心、生产性服务中心</w:t>
            </w:r>
          </w:p>
        </w:tc>
      </w:tr>
      <w:tr w14:paraId="24BE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2" w:type="dxa"/>
            <w:vAlign w:val="center"/>
          </w:tcPr>
          <w:p w14:paraId="450AEFD5">
            <w:pPr>
              <w:jc w:val="center"/>
              <w:rPr>
                <w:rFonts w:ascii="Times New Roman" w:hAnsi="Times New Roman" w:cs="Times New Roman"/>
                <w:kern w:val="0"/>
                <w:sz w:val="24"/>
              </w:rPr>
            </w:pPr>
            <w:r>
              <w:rPr>
                <w:rFonts w:ascii="Times New Roman" w:hAnsi="Times New Roman" w:cs="Times New Roman"/>
                <w:kern w:val="0"/>
                <w:sz w:val="24"/>
              </w:rPr>
              <w:t>2</w:t>
            </w:r>
          </w:p>
        </w:tc>
        <w:tc>
          <w:tcPr>
            <w:tcW w:w="1254" w:type="dxa"/>
            <w:vAlign w:val="center"/>
          </w:tcPr>
          <w:p w14:paraId="597833AB">
            <w:pPr>
              <w:jc w:val="center"/>
              <w:rPr>
                <w:rFonts w:ascii="Times New Roman" w:hAnsi="Times New Roman" w:cs="Times New Roman"/>
                <w:kern w:val="0"/>
                <w:sz w:val="24"/>
              </w:rPr>
            </w:pPr>
            <w:r>
              <w:rPr>
                <w:rFonts w:ascii="Times New Roman" w:hAnsi="Times New Roman" w:cs="Times New Roman"/>
                <w:kern w:val="0"/>
                <w:sz w:val="24"/>
              </w:rPr>
              <w:t>沙湖陶瓷集聚区</w:t>
            </w:r>
          </w:p>
        </w:tc>
        <w:tc>
          <w:tcPr>
            <w:tcW w:w="1418" w:type="dxa"/>
            <w:vAlign w:val="center"/>
          </w:tcPr>
          <w:p w14:paraId="2A1FD1C7">
            <w:pPr>
              <w:jc w:val="center"/>
              <w:rPr>
                <w:rFonts w:ascii="Times New Roman" w:hAnsi="Times New Roman" w:cs="Times New Roman"/>
                <w:kern w:val="0"/>
                <w:sz w:val="24"/>
              </w:rPr>
            </w:pPr>
            <w:r>
              <w:rPr>
                <w:rFonts w:ascii="Times New Roman" w:hAnsi="Times New Roman" w:cs="Times New Roman"/>
                <w:kern w:val="0"/>
                <w:sz w:val="24"/>
              </w:rPr>
              <w:t>沙湖镇</w:t>
            </w:r>
          </w:p>
        </w:tc>
        <w:tc>
          <w:tcPr>
            <w:tcW w:w="4536" w:type="dxa"/>
            <w:vAlign w:val="center"/>
          </w:tcPr>
          <w:p w14:paraId="65764489">
            <w:pPr>
              <w:jc w:val="left"/>
              <w:rPr>
                <w:rFonts w:ascii="Times New Roman" w:hAnsi="Times New Roman" w:cs="Times New Roman"/>
                <w:kern w:val="0"/>
                <w:sz w:val="24"/>
              </w:rPr>
            </w:pPr>
            <w:r>
              <w:rPr>
                <w:rFonts w:ascii="Times New Roman" w:hAnsi="Times New Roman" w:cs="Times New Roman"/>
                <w:kern w:val="0"/>
                <w:sz w:val="24"/>
              </w:rPr>
              <w:t>新型建筑材料等</w:t>
            </w:r>
            <w:r>
              <w:rPr>
                <w:rFonts w:hint="eastAsia" w:ascii="Times New Roman" w:hAnsi="Times New Roman" w:cs="Times New Roman"/>
                <w:kern w:val="0"/>
                <w:sz w:val="24"/>
              </w:rPr>
              <w:t>先进</w:t>
            </w:r>
            <w:r>
              <w:rPr>
                <w:rFonts w:ascii="Times New Roman" w:hAnsi="Times New Roman" w:cs="Times New Roman"/>
                <w:kern w:val="0"/>
                <w:sz w:val="24"/>
              </w:rPr>
              <w:t>材料，新型建筑陶瓷</w:t>
            </w:r>
          </w:p>
        </w:tc>
        <w:tc>
          <w:tcPr>
            <w:tcW w:w="1865" w:type="dxa"/>
            <w:vAlign w:val="center"/>
          </w:tcPr>
          <w:p w14:paraId="11A91392">
            <w:pPr>
              <w:rPr>
                <w:rFonts w:ascii="Times New Roman" w:hAnsi="Times New Roman" w:cs="Times New Roman"/>
                <w:kern w:val="0"/>
                <w:sz w:val="24"/>
              </w:rPr>
            </w:pPr>
            <w:r>
              <w:rPr>
                <w:rFonts w:ascii="Times New Roman" w:hAnsi="Times New Roman" w:cs="Times New Roman"/>
                <w:kern w:val="0"/>
                <w:sz w:val="24"/>
              </w:rPr>
              <w:t>恩平325国道先进制造业集聚带</w:t>
            </w:r>
          </w:p>
        </w:tc>
      </w:tr>
      <w:tr w14:paraId="43C1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12" w:type="dxa"/>
            <w:vAlign w:val="center"/>
          </w:tcPr>
          <w:p w14:paraId="34D6D6A5">
            <w:pPr>
              <w:jc w:val="center"/>
              <w:rPr>
                <w:rFonts w:ascii="Times New Roman" w:hAnsi="Times New Roman" w:cs="Times New Roman"/>
                <w:kern w:val="0"/>
                <w:sz w:val="24"/>
              </w:rPr>
            </w:pPr>
            <w:r>
              <w:rPr>
                <w:rFonts w:ascii="Times New Roman" w:hAnsi="Times New Roman" w:cs="Times New Roman"/>
                <w:kern w:val="0"/>
                <w:sz w:val="24"/>
              </w:rPr>
              <w:t>3</w:t>
            </w:r>
          </w:p>
        </w:tc>
        <w:tc>
          <w:tcPr>
            <w:tcW w:w="1254" w:type="dxa"/>
            <w:vAlign w:val="center"/>
          </w:tcPr>
          <w:p w14:paraId="7C49C2CD">
            <w:pPr>
              <w:jc w:val="center"/>
              <w:rPr>
                <w:rFonts w:ascii="Times New Roman" w:hAnsi="Times New Roman" w:cs="Times New Roman"/>
                <w:kern w:val="0"/>
                <w:sz w:val="24"/>
              </w:rPr>
            </w:pPr>
            <w:r>
              <w:rPr>
                <w:rFonts w:ascii="Times New Roman" w:hAnsi="Times New Roman" w:cs="Times New Roman"/>
                <w:kern w:val="0"/>
                <w:sz w:val="24"/>
              </w:rPr>
              <w:t>君堂纺织服装集聚区</w:t>
            </w:r>
          </w:p>
        </w:tc>
        <w:tc>
          <w:tcPr>
            <w:tcW w:w="1418" w:type="dxa"/>
            <w:vAlign w:val="center"/>
          </w:tcPr>
          <w:p w14:paraId="74FD3474">
            <w:pPr>
              <w:jc w:val="center"/>
              <w:rPr>
                <w:rFonts w:ascii="Times New Roman" w:hAnsi="Times New Roman" w:cs="Times New Roman"/>
                <w:kern w:val="0"/>
                <w:sz w:val="24"/>
              </w:rPr>
            </w:pPr>
            <w:r>
              <w:rPr>
                <w:rFonts w:ascii="Times New Roman" w:hAnsi="Times New Roman" w:cs="Times New Roman"/>
                <w:kern w:val="0"/>
                <w:sz w:val="24"/>
              </w:rPr>
              <w:t>君堂镇</w:t>
            </w:r>
          </w:p>
        </w:tc>
        <w:tc>
          <w:tcPr>
            <w:tcW w:w="4536" w:type="dxa"/>
            <w:vAlign w:val="center"/>
          </w:tcPr>
          <w:p w14:paraId="411B0CF7">
            <w:pPr>
              <w:jc w:val="left"/>
              <w:rPr>
                <w:rFonts w:ascii="Times New Roman" w:hAnsi="Times New Roman" w:cs="Times New Roman"/>
                <w:kern w:val="0"/>
                <w:sz w:val="24"/>
              </w:rPr>
            </w:pPr>
            <w:r>
              <w:rPr>
                <w:rFonts w:ascii="Times New Roman" w:hAnsi="Times New Roman" w:cs="Times New Roman"/>
                <w:kern w:val="0"/>
                <w:sz w:val="24"/>
              </w:rPr>
              <w:t>纺织医疗材料等</w:t>
            </w:r>
            <w:r>
              <w:rPr>
                <w:rFonts w:hint="eastAsia" w:ascii="Times New Roman" w:hAnsi="Times New Roman" w:cs="Times New Roman"/>
                <w:kern w:val="0"/>
                <w:sz w:val="24"/>
              </w:rPr>
              <w:t>先进</w:t>
            </w:r>
            <w:r>
              <w:rPr>
                <w:rFonts w:ascii="Times New Roman" w:hAnsi="Times New Roman" w:cs="Times New Roman"/>
                <w:kern w:val="0"/>
                <w:sz w:val="24"/>
              </w:rPr>
              <w:t>材料，纺织服装</w:t>
            </w:r>
          </w:p>
        </w:tc>
        <w:tc>
          <w:tcPr>
            <w:tcW w:w="1865" w:type="dxa"/>
            <w:vAlign w:val="center"/>
          </w:tcPr>
          <w:p w14:paraId="73E7ECBC">
            <w:pPr>
              <w:jc w:val="left"/>
              <w:rPr>
                <w:rFonts w:ascii="Times New Roman" w:hAnsi="Times New Roman" w:cs="Times New Roman"/>
                <w:kern w:val="0"/>
                <w:sz w:val="24"/>
              </w:rPr>
            </w:pPr>
            <w:r>
              <w:rPr>
                <w:rFonts w:ascii="Times New Roman" w:hAnsi="Times New Roman" w:cs="Times New Roman"/>
                <w:kern w:val="0"/>
                <w:sz w:val="24"/>
              </w:rPr>
              <w:t>恩平325国道先进制造业集聚带</w:t>
            </w:r>
          </w:p>
        </w:tc>
      </w:tr>
      <w:tr w14:paraId="3090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12" w:type="dxa"/>
            <w:vAlign w:val="center"/>
          </w:tcPr>
          <w:p w14:paraId="74312F43">
            <w:pPr>
              <w:jc w:val="center"/>
              <w:rPr>
                <w:rFonts w:ascii="Times New Roman" w:hAnsi="Times New Roman" w:cs="Times New Roman"/>
                <w:kern w:val="0"/>
                <w:sz w:val="24"/>
              </w:rPr>
            </w:pPr>
            <w:r>
              <w:rPr>
                <w:rFonts w:ascii="Times New Roman" w:hAnsi="Times New Roman" w:cs="Times New Roman"/>
                <w:kern w:val="0"/>
                <w:sz w:val="24"/>
              </w:rPr>
              <w:t>4</w:t>
            </w:r>
          </w:p>
        </w:tc>
        <w:tc>
          <w:tcPr>
            <w:tcW w:w="1254" w:type="dxa"/>
            <w:vAlign w:val="center"/>
          </w:tcPr>
          <w:p w14:paraId="51055216">
            <w:pPr>
              <w:jc w:val="center"/>
              <w:rPr>
                <w:rFonts w:ascii="Times New Roman" w:hAnsi="Times New Roman" w:cs="Times New Roman"/>
                <w:kern w:val="0"/>
                <w:sz w:val="24"/>
              </w:rPr>
            </w:pPr>
            <w:r>
              <w:rPr>
                <w:rFonts w:ascii="Times New Roman" w:hAnsi="Times New Roman" w:cs="Times New Roman"/>
                <w:kern w:val="0"/>
                <w:sz w:val="24"/>
              </w:rPr>
              <w:t>横陂临港工业区</w:t>
            </w:r>
          </w:p>
        </w:tc>
        <w:tc>
          <w:tcPr>
            <w:tcW w:w="1418" w:type="dxa"/>
            <w:vAlign w:val="center"/>
          </w:tcPr>
          <w:p w14:paraId="7DAF4837">
            <w:pPr>
              <w:jc w:val="center"/>
              <w:rPr>
                <w:rFonts w:ascii="Times New Roman" w:hAnsi="Times New Roman" w:cs="Times New Roman"/>
                <w:kern w:val="0"/>
                <w:sz w:val="24"/>
              </w:rPr>
            </w:pPr>
            <w:r>
              <w:rPr>
                <w:rFonts w:ascii="Times New Roman" w:hAnsi="Times New Roman" w:cs="Times New Roman"/>
                <w:kern w:val="0"/>
                <w:sz w:val="24"/>
              </w:rPr>
              <w:t>横陂镇</w:t>
            </w:r>
          </w:p>
        </w:tc>
        <w:tc>
          <w:tcPr>
            <w:tcW w:w="4536" w:type="dxa"/>
            <w:vAlign w:val="center"/>
          </w:tcPr>
          <w:p w14:paraId="37150739">
            <w:pPr>
              <w:jc w:val="left"/>
              <w:rPr>
                <w:rFonts w:ascii="Times New Roman" w:hAnsi="Times New Roman" w:cs="Times New Roman"/>
                <w:kern w:val="0"/>
                <w:sz w:val="24"/>
              </w:rPr>
            </w:pPr>
            <w:r>
              <w:rPr>
                <w:rFonts w:ascii="Times New Roman" w:hAnsi="Times New Roman" w:cs="Times New Roman"/>
                <w:kern w:val="0"/>
                <w:sz w:val="24"/>
              </w:rPr>
              <w:t>纳米碳酸</w:t>
            </w:r>
            <w:r>
              <w:rPr>
                <w:rFonts w:hint="eastAsia" w:ascii="Times New Roman" w:hAnsi="Times New Roman" w:cs="Times New Roman"/>
                <w:kern w:val="0"/>
                <w:sz w:val="24"/>
              </w:rPr>
              <w:t>钙</w:t>
            </w:r>
            <w:r>
              <w:rPr>
                <w:rFonts w:ascii="Times New Roman" w:hAnsi="Times New Roman" w:cs="Times New Roman"/>
                <w:kern w:val="0"/>
                <w:sz w:val="24"/>
              </w:rPr>
              <w:t>材料、新型建筑材料等</w:t>
            </w:r>
            <w:r>
              <w:rPr>
                <w:rFonts w:hint="eastAsia" w:ascii="Times New Roman" w:hAnsi="Times New Roman" w:cs="Times New Roman"/>
                <w:kern w:val="0"/>
                <w:sz w:val="24"/>
              </w:rPr>
              <w:t>先进</w:t>
            </w:r>
            <w:r>
              <w:rPr>
                <w:rFonts w:ascii="Times New Roman" w:hAnsi="Times New Roman" w:cs="Times New Roman"/>
                <w:kern w:val="0"/>
                <w:sz w:val="24"/>
              </w:rPr>
              <w:t>材料，新型建筑陶瓷，精细化工</w:t>
            </w:r>
          </w:p>
        </w:tc>
        <w:tc>
          <w:tcPr>
            <w:tcW w:w="1865" w:type="dxa"/>
            <w:vAlign w:val="center"/>
          </w:tcPr>
          <w:p w14:paraId="1A0167B8">
            <w:pPr>
              <w:jc w:val="left"/>
              <w:rPr>
                <w:rFonts w:ascii="Times New Roman" w:hAnsi="Times New Roman" w:cs="Times New Roman"/>
                <w:kern w:val="0"/>
                <w:sz w:val="24"/>
              </w:rPr>
            </w:pPr>
            <w:r>
              <w:rPr>
                <w:rFonts w:ascii="Times New Roman" w:hAnsi="Times New Roman" w:cs="Times New Roman"/>
                <w:kern w:val="0"/>
                <w:sz w:val="24"/>
              </w:rPr>
              <w:t>恩平276省道先进制造业集聚带</w:t>
            </w:r>
          </w:p>
        </w:tc>
      </w:tr>
      <w:bookmarkEnd w:id="116"/>
    </w:tbl>
    <w:p w14:paraId="681160E6">
      <w:pPr>
        <w:spacing w:line="560" w:lineRule="exact"/>
        <w:ind w:firstLine="640" w:firstLineChars="200"/>
        <w:outlineLvl w:val="2"/>
        <w:rPr>
          <w:rFonts w:ascii="Times New Roman" w:hAnsi="Times New Roman" w:eastAsia="仿宋_GB2312" w:cs="Times New Roman"/>
          <w:sz w:val="32"/>
          <w:szCs w:val="40"/>
        </w:rPr>
      </w:pPr>
    </w:p>
    <w:p w14:paraId="0BD15DB6">
      <w:pPr>
        <w:spacing w:line="560" w:lineRule="exact"/>
        <w:ind w:firstLine="643" w:firstLineChars="200"/>
        <w:outlineLvl w:val="1"/>
        <w:rPr>
          <w:rFonts w:ascii="Times New Roman" w:hAnsi="Times New Roman" w:eastAsia="楷体_GB2312" w:cs="Times New Roman"/>
          <w:b/>
          <w:bCs/>
          <w:sz w:val="32"/>
          <w:szCs w:val="40"/>
        </w:rPr>
      </w:pPr>
      <w:bookmarkStart w:id="117" w:name="_Toc167288483"/>
      <w:r>
        <w:rPr>
          <w:rFonts w:hint="eastAsia" w:ascii="Times New Roman" w:hAnsi="Times New Roman" w:eastAsia="楷体_GB2312" w:cs="Times New Roman"/>
          <w:b/>
          <w:bCs/>
          <w:sz w:val="32"/>
          <w:szCs w:val="40"/>
        </w:rPr>
        <w:t>（二）恩平工业园发展规划</w:t>
      </w:r>
      <w:bookmarkEnd w:id="117"/>
    </w:p>
    <w:p w14:paraId="5BC27812">
      <w:pPr>
        <w:spacing w:line="560" w:lineRule="exact"/>
        <w:ind w:firstLine="640" w:firstLineChars="200"/>
        <w:outlineLvl w:val="2"/>
        <w:rPr>
          <w:rFonts w:ascii="Times New Roman" w:hAnsi="Times New Roman" w:eastAsia="仿宋_GB2312" w:cs="Times New Roman"/>
          <w:b/>
          <w:sz w:val="32"/>
          <w:szCs w:val="40"/>
        </w:rPr>
      </w:pPr>
      <w:r>
        <w:rPr>
          <w:rFonts w:ascii="Times New Roman" w:hAnsi="Times New Roman" w:eastAsia="仿宋_GB2312" w:cs="Times New Roman"/>
          <w:sz w:val="32"/>
          <w:szCs w:val="40"/>
        </w:rPr>
        <w:t>持续提高园区承载能力。深入推进“园区再造”工程，着力提升恩平工业园建设水平，在园区推广“七通一平”标准化建设工程，创新园区投资运营方式，探索由社会资本参与园区建设运营，投资建设工业大厦、高标准厂房，或市场化运营的“园中园”。扎实推进恩平工业园扩园建设，</w:t>
      </w:r>
      <w:r>
        <w:rPr>
          <w:rFonts w:hint="eastAsia" w:ascii="Times New Roman" w:hAnsi="Times New Roman" w:eastAsia="仿宋_GB2312" w:cs="Times New Roman"/>
          <w:sz w:val="32"/>
          <w:szCs w:val="40"/>
        </w:rPr>
        <w:t>恩平产业转移工业园扩园调整为三个区块，总面积</w:t>
      </w:r>
      <w:r>
        <w:rPr>
          <w:rFonts w:ascii="Times New Roman" w:hAnsi="Times New Roman" w:eastAsia="仿宋_GB2312" w:cs="Times New Roman"/>
          <w:sz w:val="32"/>
          <w:szCs w:val="40"/>
        </w:rPr>
        <w:t>1810.9032</w:t>
      </w:r>
      <w:r>
        <w:rPr>
          <w:rFonts w:hint="eastAsia" w:ascii="Times New Roman" w:hAnsi="Times New Roman" w:eastAsia="仿宋_GB2312" w:cs="Times New Roman"/>
          <w:sz w:val="32"/>
          <w:szCs w:val="40"/>
        </w:rPr>
        <w:t>公顷，分别是核心片区</w:t>
      </w:r>
      <w:r>
        <w:rPr>
          <w:rFonts w:ascii="Times New Roman" w:hAnsi="Times New Roman" w:eastAsia="仿宋_GB2312" w:cs="Times New Roman"/>
          <w:sz w:val="32"/>
          <w:szCs w:val="40"/>
        </w:rPr>
        <w:t>1382.8210</w:t>
      </w:r>
      <w:r>
        <w:rPr>
          <w:rFonts w:hint="eastAsia" w:ascii="Times New Roman" w:hAnsi="Times New Roman" w:eastAsia="仿宋_GB2312" w:cs="Times New Roman"/>
          <w:sz w:val="32"/>
          <w:szCs w:val="40"/>
        </w:rPr>
        <w:t>公顷；东成新龙片区</w:t>
      </w:r>
      <w:r>
        <w:rPr>
          <w:rFonts w:ascii="Times New Roman" w:hAnsi="Times New Roman" w:eastAsia="仿宋_GB2312" w:cs="Times New Roman"/>
          <w:sz w:val="32"/>
          <w:szCs w:val="40"/>
        </w:rPr>
        <w:t>213.1898</w:t>
      </w:r>
      <w:r>
        <w:rPr>
          <w:rFonts w:hint="eastAsia" w:ascii="Times New Roman" w:hAnsi="Times New Roman" w:eastAsia="仿宋_GB2312" w:cs="Times New Roman"/>
          <w:sz w:val="32"/>
          <w:szCs w:val="40"/>
        </w:rPr>
        <w:t>公顷；东成高铁片区</w:t>
      </w:r>
      <w:r>
        <w:rPr>
          <w:rFonts w:ascii="Times New Roman" w:hAnsi="Times New Roman" w:eastAsia="仿宋_GB2312" w:cs="Times New Roman"/>
          <w:sz w:val="32"/>
          <w:szCs w:val="40"/>
        </w:rPr>
        <w:t>214.8924</w:t>
      </w:r>
      <w:r>
        <w:rPr>
          <w:rFonts w:hint="eastAsia" w:ascii="Times New Roman" w:hAnsi="Times New Roman" w:eastAsia="仿宋_GB2312" w:cs="Times New Roman"/>
          <w:sz w:val="32"/>
          <w:szCs w:val="40"/>
        </w:rPr>
        <w:t>公顷。</w:t>
      </w:r>
      <w:r>
        <w:rPr>
          <w:rFonts w:ascii="Times New Roman" w:hAnsi="Times New Roman" w:eastAsia="仿宋_GB2312" w:cs="Times New Roman"/>
          <w:sz w:val="32"/>
          <w:szCs w:val="32"/>
        </w:rPr>
        <w:t>强化新增工业用地保障，划定“工业用地保护红线”和产业保护区块，加强对工业用地功能、布局等方面的科学规划。</w:t>
      </w:r>
      <w:r>
        <w:rPr>
          <w:rFonts w:ascii="Times New Roman" w:hAnsi="Times New Roman" w:eastAsia="仿宋_GB2312" w:cs="Times New Roman"/>
          <w:sz w:val="32"/>
          <w:szCs w:val="40"/>
        </w:rPr>
        <w:t>推动5G在园区的布网和应用，争创“5G+工业互联网”应用示范园区与智慧园区建设。</w:t>
      </w:r>
      <w:r>
        <w:rPr>
          <w:rFonts w:hint="eastAsia" w:ascii="Times New Roman" w:hAnsi="Times New Roman" w:eastAsia="仿宋_GB2312" w:cs="Times New Roman"/>
          <w:sz w:val="32"/>
          <w:szCs w:val="40"/>
        </w:rPr>
        <w:t>在园区工业用地的准入条件中说明一类工业用地（100101）可用于研发、创意、设计、无污染生产等新型产业项目，满足新型产业发展和传统工业转型升级需求</w:t>
      </w:r>
      <w:r>
        <w:rPr>
          <w:rFonts w:ascii="Times New Roman" w:hAnsi="Times New Roman" w:eastAsia="仿宋_GB2312" w:cs="Times New Roman"/>
          <w:sz w:val="32"/>
          <w:szCs w:val="40"/>
        </w:rPr>
        <w:t>。</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14:paraId="0094E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8250" w:type="dxa"/>
            <w:tcBorders>
              <w:top w:val="single" w:color="auto" w:sz="4" w:space="0"/>
              <w:left w:val="single" w:color="auto" w:sz="4" w:space="0"/>
              <w:bottom w:val="single" w:color="auto" w:sz="4" w:space="0"/>
              <w:right w:val="single" w:color="auto" w:sz="4" w:space="0"/>
            </w:tcBorders>
            <w:vAlign w:val="center"/>
          </w:tcPr>
          <w:p w14:paraId="19FE4C42">
            <w:pPr>
              <w:spacing w:line="560" w:lineRule="exact"/>
              <w:jc w:val="center"/>
              <w:rPr>
                <w:rFonts w:ascii="Times New Roman" w:hAnsi="Times New Roman" w:cs="Times New Roman"/>
                <w:kern w:val="0"/>
                <w:sz w:val="24"/>
              </w:rPr>
            </w:pPr>
            <w:r>
              <w:rPr>
                <w:rFonts w:ascii="Times New Roman" w:hAnsi="Times New Roman" w:eastAsia="黑体" w:cs="Times New Roman"/>
                <w:sz w:val="28"/>
                <w:szCs w:val="28"/>
              </w:rPr>
              <w:t>专栏1</w:t>
            </w:r>
            <w:r>
              <w:rPr>
                <w:rFonts w:hint="eastAsia" w:ascii="Times New Roman" w:hAnsi="Times New Roman" w:eastAsia="黑体" w:cs="Times New Roman"/>
                <w:sz w:val="28"/>
                <w:szCs w:val="28"/>
              </w:rPr>
              <w:t>4</w:t>
            </w:r>
            <w:r>
              <w:rPr>
                <w:rFonts w:ascii="Times New Roman" w:hAnsi="Times New Roman" w:eastAsia="黑体" w:cs="Times New Roman"/>
                <w:sz w:val="28"/>
                <w:szCs w:val="28"/>
              </w:rPr>
              <w:t>恩平工业园扩园发展路径</w:t>
            </w:r>
          </w:p>
        </w:tc>
      </w:tr>
      <w:tr w14:paraId="50AA7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0" w:type="dxa"/>
            <w:tcBorders>
              <w:top w:val="single" w:color="auto" w:sz="4" w:space="0"/>
              <w:left w:val="single" w:color="auto" w:sz="4" w:space="0"/>
              <w:bottom w:val="single" w:color="auto" w:sz="4" w:space="0"/>
              <w:right w:val="single" w:color="auto" w:sz="4" w:space="0"/>
            </w:tcBorders>
            <w:vAlign w:val="center"/>
          </w:tcPr>
          <w:p w14:paraId="097427AC">
            <w:pPr>
              <w:tabs>
                <w:tab w:val="left" w:pos="724"/>
              </w:tabs>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恩平工业园扩园分为分为</w:t>
            </w:r>
            <w:r>
              <w:rPr>
                <w:rFonts w:hint="eastAsia" w:ascii="Times New Roman" w:hAnsi="Times New Roman" w:eastAsia="仿宋_GB2312" w:cs="Times New Roman"/>
                <w:sz w:val="32"/>
                <w:szCs w:val="40"/>
              </w:rPr>
              <w:t>三个片区</w:t>
            </w:r>
            <w:r>
              <w:rPr>
                <w:rFonts w:ascii="Times New Roman" w:hAnsi="Times New Roman" w:eastAsia="仿宋_GB2312" w:cs="Times New Roman"/>
                <w:sz w:val="32"/>
                <w:szCs w:val="40"/>
              </w:rPr>
              <w:t>，科学有序开发。</w:t>
            </w:r>
          </w:p>
          <w:p w14:paraId="234248BE">
            <w:pPr>
              <w:spacing w:line="560" w:lineRule="exact"/>
              <w:ind w:firstLine="643" w:firstLineChars="200"/>
              <w:rPr>
                <w:rFonts w:ascii="Times New Roman" w:hAnsi="Times New Roman" w:eastAsia="仿宋_GB2312" w:cs="Times New Roman"/>
                <w:sz w:val="32"/>
                <w:szCs w:val="40"/>
              </w:rPr>
            </w:pPr>
            <w:r>
              <w:rPr>
                <w:rFonts w:hint="eastAsia" w:ascii="Times New Roman" w:hAnsi="Times New Roman" w:eastAsia="仿宋_GB2312" w:cs="Times New Roman"/>
                <w:b/>
                <w:sz w:val="32"/>
                <w:szCs w:val="40"/>
              </w:rPr>
              <w:t>片区</w:t>
            </w:r>
            <w:r>
              <w:rPr>
                <w:rFonts w:ascii="Times New Roman" w:hAnsi="Times New Roman" w:eastAsia="仿宋_GB2312" w:cs="Times New Roman"/>
                <w:b/>
                <w:sz w:val="32"/>
                <w:szCs w:val="40"/>
              </w:rPr>
              <w:t>一</w:t>
            </w:r>
            <w:r>
              <w:rPr>
                <w:rFonts w:ascii="Times New Roman" w:hAnsi="Times New Roman" w:eastAsia="仿宋_GB2312" w:cs="Times New Roman"/>
                <w:sz w:val="32"/>
                <w:szCs w:val="40"/>
              </w:rPr>
              <w:t>核心</w:t>
            </w:r>
            <w:r>
              <w:rPr>
                <w:rFonts w:hint="eastAsia" w:ascii="Times New Roman" w:hAnsi="Times New Roman" w:eastAsia="仿宋_GB2312" w:cs="Times New Roman"/>
                <w:sz w:val="32"/>
                <w:szCs w:val="40"/>
              </w:rPr>
              <w:t>片区扩园面积</w:t>
            </w:r>
            <w:r>
              <w:rPr>
                <w:rFonts w:ascii="Times New Roman" w:hAnsi="Times New Roman" w:eastAsia="仿宋_GB2312" w:cs="Times New Roman"/>
                <w:sz w:val="32"/>
                <w:szCs w:val="40"/>
              </w:rPr>
              <w:t>1382.8210</w:t>
            </w:r>
            <w:r>
              <w:rPr>
                <w:rFonts w:hint="eastAsia" w:ascii="Times New Roman" w:hAnsi="Times New Roman" w:eastAsia="仿宋_GB2312" w:cs="Times New Roman"/>
                <w:sz w:val="32"/>
                <w:szCs w:val="40"/>
              </w:rPr>
              <w:t>公顷，四至范围：东至为横桐水库；南至为深茂铁路、越侨村；西至为开阳高速；北至为工业四路。</w:t>
            </w:r>
          </w:p>
          <w:p w14:paraId="5FE2A98F">
            <w:pPr>
              <w:spacing w:line="560" w:lineRule="exact"/>
              <w:ind w:firstLine="643" w:firstLineChars="200"/>
              <w:rPr>
                <w:rFonts w:ascii="Times New Roman" w:hAnsi="Times New Roman" w:eastAsia="仿宋_GB2312" w:cs="Times New Roman"/>
                <w:sz w:val="32"/>
                <w:szCs w:val="40"/>
              </w:rPr>
            </w:pPr>
            <w:r>
              <w:rPr>
                <w:rFonts w:hint="eastAsia" w:ascii="Times New Roman" w:hAnsi="Times New Roman" w:eastAsia="仿宋_GB2312" w:cs="Times New Roman"/>
                <w:b/>
                <w:sz w:val="32"/>
                <w:szCs w:val="40"/>
              </w:rPr>
              <w:t>片区</w:t>
            </w:r>
            <w:r>
              <w:rPr>
                <w:rFonts w:ascii="Times New Roman" w:hAnsi="Times New Roman" w:eastAsia="仿宋_GB2312" w:cs="Times New Roman"/>
                <w:b/>
                <w:sz w:val="32"/>
                <w:szCs w:val="40"/>
              </w:rPr>
              <w:t>二</w:t>
            </w:r>
            <w:r>
              <w:rPr>
                <w:rFonts w:hint="eastAsia" w:ascii="Times New Roman" w:hAnsi="Times New Roman" w:eastAsia="仿宋_GB2312" w:cs="Times New Roman"/>
                <w:sz w:val="32"/>
                <w:szCs w:val="40"/>
              </w:rPr>
              <w:t>东成新龙片区扩园面积</w:t>
            </w:r>
            <w:r>
              <w:rPr>
                <w:rFonts w:ascii="Times New Roman" w:hAnsi="Times New Roman" w:eastAsia="仿宋_GB2312" w:cs="Times New Roman"/>
                <w:sz w:val="32"/>
                <w:szCs w:val="40"/>
              </w:rPr>
              <w:t>213.1898</w:t>
            </w:r>
            <w:r>
              <w:rPr>
                <w:rFonts w:hint="eastAsia" w:ascii="Times New Roman" w:hAnsi="Times New Roman" w:eastAsia="仿宋_GB2312" w:cs="Times New Roman"/>
                <w:sz w:val="32"/>
                <w:szCs w:val="40"/>
              </w:rPr>
              <w:t>公顷，四至范围：东至为米坑村；南至为鱼仔田；西至为G325国道；北至为潭江、S367省道</w:t>
            </w:r>
            <w:r>
              <w:rPr>
                <w:rFonts w:ascii="Times New Roman" w:hAnsi="Times New Roman" w:eastAsia="仿宋_GB2312" w:cs="Times New Roman"/>
                <w:sz w:val="32"/>
                <w:szCs w:val="40"/>
              </w:rPr>
              <w:t>。</w:t>
            </w:r>
          </w:p>
          <w:p w14:paraId="620B1F21">
            <w:pPr>
              <w:spacing w:line="560" w:lineRule="exact"/>
              <w:ind w:firstLine="643" w:firstLineChars="200"/>
              <w:rPr>
                <w:rFonts w:ascii="Times New Roman" w:hAnsi="Times New Roman" w:eastAsia="仿宋_GB2312" w:cs="Times New Roman"/>
                <w:sz w:val="32"/>
                <w:szCs w:val="40"/>
              </w:rPr>
            </w:pPr>
            <w:r>
              <w:rPr>
                <w:rFonts w:hint="eastAsia" w:ascii="Times New Roman" w:hAnsi="Times New Roman" w:eastAsia="仿宋_GB2312" w:cs="Times New Roman"/>
                <w:b/>
                <w:sz w:val="32"/>
                <w:szCs w:val="40"/>
              </w:rPr>
              <w:t>片区</w:t>
            </w:r>
            <w:r>
              <w:rPr>
                <w:rFonts w:ascii="Times New Roman" w:hAnsi="Times New Roman" w:eastAsia="仿宋_GB2312" w:cs="Times New Roman"/>
                <w:b/>
                <w:sz w:val="32"/>
                <w:szCs w:val="40"/>
              </w:rPr>
              <w:t>三</w:t>
            </w:r>
            <w:r>
              <w:rPr>
                <w:rFonts w:hint="eastAsia" w:ascii="Times New Roman" w:hAnsi="Times New Roman" w:eastAsia="仿宋_GB2312" w:cs="Times New Roman"/>
                <w:bCs/>
                <w:sz w:val="32"/>
                <w:szCs w:val="40"/>
              </w:rPr>
              <w:t>东成高铁片区</w:t>
            </w:r>
            <w:r>
              <w:rPr>
                <w:rFonts w:hint="eastAsia" w:ascii="Times New Roman" w:hAnsi="Times New Roman" w:eastAsia="仿宋_GB2312" w:cs="Times New Roman"/>
                <w:sz w:val="32"/>
                <w:szCs w:val="40"/>
              </w:rPr>
              <w:t>扩园面积</w:t>
            </w:r>
            <w:r>
              <w:rPr>
                <w:rFonts w:ascii="Times New Roman" w:hAnsi="Times New Roman" w:eastAsia="仿宋_GB2312" w:cs="Times New Roman"/>
                <w:sz w:val="32"/>
                <w:szCs w:val="40"/>
              </w:rPr>
              <w:t>214.8924</w:t>
            </w:r>
            <w:r>
              <w:rPr>
                <w:rFonts w:hint="eastAsia" w:ascii="Times New Roman" w:hAnsi="Times New Roman" w:eastAsia="仿宋_GB2312" w:cs="Times New Roman"/>
                <w:sz w:val="32"/>
                <w:szCs w:val="40"/>
              </w:rPr>
              <w:t>公顷，四至范围：东至为S367省道；南至为深茂铁路、介山；西至为大观音山、蛇山塘；北至为中间村</w:t>
            </w:r>
            <w:r>
              <w:rPr>
                <w:rFonts w:ascii="Times New Roman" w:hAnsi="Times New Roman" w:eastAsia="仿宋_GB2312" w:cs="Times New Roman"/>
                <w:sz w:val="32"/>
                <w:szCs w:val="40"/>
              </w:rPr>
              <w:t>。</w:t>
            </w:r>
          </w:p>
        </w:tc>
      </w:tr>
    </w:tbl>
    <w:p w14:paraId="3BC2D6B7">
      <w:pPr>
        <w:spacing w:line="560" w:lineRule="exact"/>
        <w:rPr>
          <w:rFonts w:ascii="Times New Roman" w:hAnsi="Times New Roman" w:eastAsia="仿宋_GB2312" w:cs="Times New Roman"/>
          <w:sz w:val="32"/>
          <w:szCs w:val="40"/>
        </w:rPr>
      </w:pPr>
    </w:p>
    <w:p w14:paraId="0FC8B3CD">
      <w:pPr>
        <w:pStyle w:val="2"/>
        <w:spacing w:before="0" w:after="0" w:line="560" w:lineRule="exact"/>
        <w:ind w:firstLine="643" w:firstLineChars="200"/>
        <w:rPr>
          <w:rFonts w:ascii="Times New Roman" w:hAnsi="Times New Roman" w:eastAsia="黑体" w:cs="Times New Roman"/>
          <w:sz w:val="32"/>
        </w:rPr>
      </w:pPr>
      <w:bookmarkStart w:id="118" w:name="_Toc167288484"/>
      <w:bookmarkStart w:id="119" w:name="_Toc51589577"/>
      <w:bookmarkStart w:id="120" w:name="_Toc5493"/>
      <w:bookmarkStart w:id="121" w:name="_Toc29106"/>
      <w:r>
        <w:rPr>
          <w:rFonts w:hint="eastAsia" w:ascii="Times New Roman" w:hAnsi="Times New Roman" w:eastAsia="黑体" w:cs="Times New Roman"/>
          <w:sz w:val="32"/>
        </w:rPr>
        <w:t>七</w:t>
      </w:r>
      <w:r>
        <w:rPr>
          <w:rFonts w:ascii="Times New Roman" w:hAnsi="Times New Roman" w:eastAsia="黑体" w:cs="Times New Roman"/>
          <w:sz w:val="32"/>
        </w:rPr>
        <w:t>、保障措施</w:t>
      </w:r>
      <w:bookmarkEnd w:id="118"/>
      <w:bookmarkEnd w:id="119"/>
      <w:bookmarkEnd w:id="120"/>
      <w:bookmarkEnd w:id="121"/>
    </w:p>
    <w:p w14:paraId="32E21B97">
      <w:pPr>
        <w:spacing w:line="560" w:lineRule="exact"/>
        <w:ind w:firstLine="643" w:firstLineChars="200"/>
        <w:outlineLvl w:val="1"/>
        <w:rPr>
          <w:rFonts w:ascii="Times New Roman" w:hAnsi="Times New Roman" w:eastAsia="楷体_GB2312" w:cs="Times New Roman"/>
          <w:b/>
          <w:bCs/>
          <w:sz w:val="32"/>
          <w:szCs w:val="40"/>
        </w:rPr>
      </w:pPr>
      <w:bookmarkStart w:id="122" w:name="_Toc51781925"/>
      <w:bookmarkStart w:id="123" w:name="_Toc2371"/>
      <w:bookmarkStart w:id="124" w:name="_Toc7348"/>
      <w:bookmarkStart w:id="125" w:name="_Toc51589578"/>
      <w:bookmarkStart w:id="126" w:name="_Toc167288485"/>
      <w:r>
        <w:rPr>
          <w:rFonts w:ascii="Times New Roman" w:hAnsi="Times New Roman" w:eastAsia="楷体_GB2312" w:cs="Times New Roman"/>
          <w:b/>
          <w:bCs/>
          <w:sz w:val="32"/>
          <w:szCs w:val="40"/>
        </w:rPr>
        <w:t>（一）</w:t>
      </w:r>
      <w:bookmarkEnd w:id="122"/>
      <w:r>
        <w:rPr>
          <w:rFonts w:ascii="Times New Roman" w:hAnsi="Times New Roman" w:eastAsia="楷体_GB2312" w:cs="Times New Roman"/>
          <w:b/>
          <w:bCs/>
          <w:sz w:val="32"/>
          <w:szCs w:val="40"/>
        </w:rPr>
        <w:t>加强组织</w:t>
      </w:r>
      <w:bookmarkEnd w:id="123"/>
      <w:bookmarkEnd w:id="124"/>
      <w:bookmarkEnd w:id="125"/>
      <w:r>
        <w:rPr>
          <w:rFonts w:ascii="Times New Roman" w:hAnsi="Times New Roman" w:eastAsia="楷体_GB2312" w:cs="Times New Roman"/>
          <w:b/>
          <w:bCs/>
          <w:sz w:val="32"/>
          <w:szCs w:val="40"/>
        </w:rPr>
        <w:t>实施</w:t>
      </w:r>
      <w:bookmarkEnd w:id="126"/>
    </w:p>
    <w:p w14:paraId="7F22FB23">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明确部门分工，落实工作责任，形成协调合作机制，统筹协调各项推进工作。强化规划指引，注重规划衔接，积极推进与国民经济和社会发展规划、国土空间规划、生态环境总体规划等规划的相互衔接、相互协调，配套实施，优先保障</w:t>
      </w:r>
      <w:r>
        <w:rPr>
          <w:rFonts w:hint="eastAsia" w:ascii="Times New Roman" w:hAnsi="Times New Roman" w:eastAsia="仿宋_GB2312" w:cs="Times New Roman"/>
          <w:kern w:val="0"/>
          <w:sz w:val="32"/>
          <w:szCs w:val="32"/>
        </w:rPr>
        <w:t>高端</w:t>
      </w:r>
      <w:r>
        <w:rPr>
          <w:rFonts w:ascii="Times New Roman" w:hAnsi="Times New Roman" w:eastAsia="仿宋_GB2312" w:cs="Times New Roman"/>
          <w:kern w:val="0"/>
          <w:sz w:val="32"/>
          <w:szCs w:val="32"/>
        </w:rPr>
        <w:t>装备</w:t>
      </w:r>
      <w:r>
        <w:rPr>
          <w:rFonts w:hint="eastAsia" w:ascii="Times New Roman" w:hAnsi="Times New Roman" w:eastAsia="仿宋_GB2312" w:cs="Times New Roman"/>
          <w:kern w:val="0"/>
          <w:sz w:val="32"/>
          <w:szCs w:val="32"/>
        </w:rPr>
        <w:t>制造</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新一代电子信息</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先进</w:t>
      </w:r>
      <w:r>
        <w:rPr>
          <w:rFonts w:ascii="Times New Roman" w:hAnsi="Times New Roman" w:eastAsia="仿宋_GB2312" w:cs="Times New Roman"/>
          <w:kern w:val="0"/>
          <w:sz w:val="32"/>
          <w:szCs w:val="32"/>
        </w:rPr>
        <w:t>材料等先进产业建设用地。</w:t>
      </w:r>
    </w:p>
    <w:p w14:paraId="0BBE67B5">
      <w:pPr>
        <w:pStyle w:val="3"/>
        <w:spacing w:before="0" w:after="0" w:line="560" w:lineRule="exact"/>
        <w:ind w:firstLine="630" w:firstLineChars="196"/>
        <w:rPr>
          <w:rFonts w:ascii="Times New Roman" w:hAnsi="Times New Roman" w:eastAsia="楷体_GB2312"/>
          <w:szCs w:val="40"/>
        </w:rPr>
      </w:pPr>
      <w:bookmarkStart w:id="127" w:name="_Toc167288486"/>
      <w:r>
        <w:rPr>
          <w:rFonts w:ascii="Times New Roman" w:hAnsi="Times New Roman" w:eastAsia="楷体_GB2312"/>
          <w:szCs w:val="40"/>
        </w:rPr>
        <w:t>（二）完善政策配套</w:t>
      </w:r>
      <w:bookmarkEnd w:id="127"/>
    </w:p>
    <w:p w14:paraId="57796DE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强化政策合力，</w:t>
      </w:r>
      <w:r>
        <w:rPr>
          <w:rFonts w:ascii="Times New Roman" w:hAnsi="Times New Roman" w:eastAsia="仿宋_GB2312" w:cs="Times New Roman"/>
          <w:kern w:val="0"/>
          <w:sz w:val="32"/>
          <w:szCs w:val="32"/>
        </w:rPr>
        <w:t>加大推动制造业发展的扶持政策措施力度，进一步丰富完善制造业发展招商引资、项目落户、营收增长、科技创新、企业上市、参展办展、人才引进、技能培训、优化企业服务等方面的政策扶持。</w:t>
      </w:r>
      <w:r>
        <w:rPr>
          <w:rFonts w:ascii="Times New Roman" w:hAnsi="Times New Roman" w:eastAsia="仿宋_GB2312" w:cs="Times New Roman"/>
          <w:sz w:val="32"/>
          <w:szCs w:val="32"/>
        </w:rPr>
        <w:t>围绕发展重点任务，健全政策体系，加大资金对制造业投放和支持力度，统筹优化财政资金支持重大项目引进、重点企业扶持、重大产业平台建设、人才培养、品牌培育等工作，促进先进制造业发展。</w:t>
      </w:r>
    </w:p>
    <w:p w14:paraId="386A98B0">
      <w:pPr>
        <w:spacing w:line="560" w:lineRule="exact"/>
        <w:ind w:firstLine="643" w:firstLineChars="200"/>
        <w:outlineLvl w:val="1"/>
        <w:rPr>
          <w:rFonts w:ascii="Times New Roman" w:hAnsi="Times New Roman" w:eastAsia="楷体_GB2312" w:cs="Times New Roman"/>
          <w:b/>
          <w:bCs/>
          <w:sz w:val="32"/>
          <w:szCs w:val="40"/>
        </w:rPr>
      </w:pPr>
      <w:bookmarkStart w:id="128" w:name="_Toc10353"/>
      <w:bookmarkStart w:id="129" w:name="_Toc25777"/>
      <w:bookmarkStart w:id="130" w:name="_Toc51589579"/>
      <w:bookmarkStart w:id="131" w:name="_Toc167288487"/>
      <w:r>
        <w:rPr>
          <w:rFonts w:ascii="Times New Roman" w:hAnsi="Times New Roman" w:eastAsia="楷体_GB2312" w:cs="Times New Roman"/>
          <w:b/>
          <w:bCs/>
          <w:sz w:val="32"/>
          <w:szCs w:val="40"/>
        </w:rPr>
        <w:t>（三）</w:t>
      </w:r>
      <w:bookmarkEnd w:id="128"/>
      <w:bookmarkEnd w:id="129"/>
      <w:bookmarkEnd w:id="130"/>
      <w:r>
        <w:rPr>
          <w:rFonts w:ascii="Times New Roman" w:hAnsi="Times New Roman" w:eastAsia="楷体_GB2312" w:cs="Times New Roman"/>
          <w:b/>
          <w:bCs/>
          <w:sz w:val="32"/>
          <w:szCs w:val="40"/>
        </w:rPr>
        <w:t>加强监测评估</w:t>
      </w:r>
      <w:bookmarkEnd w:id="131"/>
    </w:p>
    <w:bookmarkEnd w:id="82"/>
    <w:p w14:paraId="2A97C63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完善的规划评估机制，定期开展先进制造业发展调查和评估，加强跟踪监测、检查和评估，开展规划实施情况的中期评价和总结评估，采取实地督查、专题会议研究、第三方评估等方式推动，及时发现规划执行过程中出现的新问题、新情况。根据科技研发、技术创新、产业技术、国内外政策和市场发展动态等要素，适时研究调整先进制造业发展重点方向，不断完善并跟踪监测规划指标、政策措施，确保“十四五”先进制造业规划各项目标和任务的顺利完成。加强规划实施情况的信息披露，鼓励公众参与监督，切实推进规划实施。</w:t>
      </w:r>
    </w:p>
    <w:p w14:paraId="0152444B">
      <w:pPr>
        <w:spacing w:line="560" w:lineRule="exact"/>
        <w:ind w:firstLine="643" w:firstLineChars="200"/>
        <w:outlineLvl w:val="1"/>
        <w:rPr>
          <w:rFonts w:ascii="Times New Roman" w:hAnsi="Times New Roman" w:eastAsia="楷体_GB2312" w:cs="Times New Roman"/>
          <w:b/>
          <w:bCs/>
          <w:sz w:val="32"/>
          <w:szCs w:val="40"/>
        </w:rPr>
      </w:pPr>
      <w:bookmarkStart w:id="132" w:name="_Toc167288488"/>
      <w:r>
        <w:rPr>
          <w:rFonts w:ascii="Times New Roman" w:hAnsi="Times New Roman" w:eastAsia="楷体_GB2312" w:cs="Times New Roman"/>
          <w:b/>
          <w:bCs/>
          <w:sz w:val="32"/>
          <w:szCs w:val="40"/>
        </w:rPr>
        <w:t>（四）加强金融服务</w:t>
      </w:r>
      <w:bookmarkEnd w:id="132"/>
    </w:p>
    <w:p w14:paraId="5613670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大对先进制造业项目的金融支持，建立推动先进制造业发展多元化融资渠道，支持先进制造业产业重点项目建设，构建市场化、社会化运作的多方并举、合力推进投入格局。引导和鼓励金融机构创新信贷产品和服务方式，促进科技金融深度融合，支持科技贷款贴息，加大对先进制造业产业的信贷扶持。鼓励金融机构丰富先进制造业产业金融产品和服务，探索开展绿色信贷资产证券化与投贷联运融资创新业务。支持产业投资基金、风险投资基金、创业投资基金等各类基金发展。建立健全中小微企业投融资服务体系，加大金融机构、融资机构引进力度，支持各类基金投向制造领域，优化“政银保”合作模式，引导银行保险机构紧密围绕加快打造智能及</w:t>
      </w:r>
      <w:r>
        <w:rPr>
          <w:rFonts w:hint="eastAsia" w:ascii="Times New Roman" w:hAnsi="Times New Roman" w:eastAsia="仿宋_GB2312" w:cs="Times New Roman"/>
          <w:sz w:val="32"/>
          <w:szCs w:val="32"/>
        </w:rPr>
        <w:t>高端</w:t>
      </w:r>
      <w:r>
        <w:rPr>
          <w:rFonts w:ascii="Times New Roman" w:hAnsi="Times New Roman" w:eastAsia="仿宋_GB2312" w:cs="Times New Roman"/>
          <w:sz w:val="32"/>
          <w:szCs w:val="32"/>
        </w:rPr>
        <w:t>装备制造、</w:t>
      </w:r>
      <w:r>
        <w:rPr>
          <w:rFonts w:hint="eastAsia" w:ascii="Times New Roman" w:hAnsi="Times New Roman" w:eastAsia="仿宋_GB2312" w:cs="Times New Roman"/>
          <w:sz w:val="32"/>
          <w:szCs w:val="32"/>
        </w:rPr>
        <w:t>新一代电子信息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先进</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、现代农业与食品</w:t>
      </w:r>
      <w:r>
        <w:rPr>
          <w:rFonts w:ascii="Times New Roman" w:hAnsi="Times New Roman" w:eastAsia="仿宋_GB2312" w:cs="Times New Roman"/>
          <w:sz w:val="32"/>
          <w:szCs w:val="32"/>
        </w:rPr>
        <w:t>等先进制造业，力促</w:t>
      </w:r>
      <w:r>
        <w:rPr>
          <w:rFonts w:hint="eastAsia" w:ascii="Times New Roman" w:hAnsi="Times New Roman" w:eastAsia="仿宋_GB2312" w:cs="Times New Roman"/>
          <w:sz w:val="32"/>
          <w:szCs w:val="32"/>
        </w:rPr>
        <w:t>高端</w:t>
      </w:r>
      <w:r>
        <w:rPr>
          <w:rFonts w:ascii="Times New Roman" w:hAnsi="Times New Roman" w:eastAsia="仿宋_GB2312" w:cs="Times New Roman"/>
          <w:sz w:val="32"/>
          <w:szCs w:val="32"/>
        </w:rPr>
        <w:t>装备制造、</w:t>
      </w:r>
      <w:r>
        <w:rPr>
          <w:rFonts w:hint="eastAsia" w:ascii="Times New Roman" w:hAnsi="Times New Roman" w:eastAsia="仿宋_GB2312" w:cs="Times New Roman"/>
          <w:sz w:val="32"/>
          <w:szCs w:val="32"/>
        </w:rPr>
        <w:t>新一代电子信息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先进</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、现代农业与食品</w:t>
      </w:r>
      <w:r>
        <w:rPr>
          <w:rFonts w:ascii="Times New Roman" w:hAnsi="Times New Roman" w:eastAsia="仿宋_GB2312" w:cs="Times New Roman"/>
          <w:sz w:val="32"/>
          <w:szCs w:val="32"/>
        </w:rPr>
        <w:t>产业提质引链的发展战略优化金融服务。推动完善信贷风险分担和补偿机制，激活市场活力，撬动社会经济发展。落实企业上市奖励政策，鼓励制造业企业加快上市挂牌。统筹用好各级扶持中小微企业专项资金，强化对技术改造、总部企业、5G产业发展等方面的扶持力度，为中小微企业贷款提供贴息，落实好中小微企业创业担保贷款贴息扶持。</w:t>
      </w:r>
    </w:p>
    <w:p w14:paraId="179879C7">
      <w:pPr>
        <w:spacing w:line="560" w:lineRule="exact"/>
        <w:ind w:firstLine="643" w:firstLineChars="200"/>
        <w:outlineLvl w:val="1"/>
        <w:rPr>
          <w:rFonts w:ascii="Times New Roman" w:hAnsi="Times New Roman" w:eastAsia="楷体_GB2312" w:cs="Times New Roman"/>
          <w:b/>
          <w:bCs/>
          <w:sz w:val="32"/>
          <w:szCs w:val="40"/>
        </w:rPr>
      </w:pPr>
      <w:bookmarkStart w:id="133" w:name="_Toc26915"/>
      <w:bookmarkStart w:id="134" w:name="_Toc14059"/>
      <w:bookmarkStart w:id="135" w:name="_Toc12055"/>
      <w:bookmarkStart w:id="136" w:name="_Toc30704"/>
      <w:bookmarkStart w:id="137" w:name="_Toc24685"/>
      <w:bookmarkStart w:id="138" w:name="_Toc14276"/>
      <w:bookmarkStart w:id="139" w:name="_Toc63436335"/>
      <w:bookmarkStart w:id="140" w:name="_Toc10095"/>
      <w:bookmarkStart w:id="141" w:name="_Toc24797"/>
      <w:bookmarkStart w:id="142" w:name="_Toc20144"/>
      <w:bookmarkStart w:id="143" w:name="_Toc22992"/>
      <w:bookmarkStart w:id="144" w:name="_Toc11941"/>
      <w:bookmarkStart w:id="145" w:name="_Toc23534"/>
      <w:bookmarkStart w:id="146" w:name="_Toc167288489"/>
      <w:r>
        <w:rPr>
          <w:rFonts w:ascii="Times New Roman" w:hAnsi="Times New Roman" w:eastAsia="楷体_GB2312" w:cs="Times New Roman"/>
          <w:b/>
          <w:bCs/>
          <w:sz w:val="32"/>
          <w:szCs w:val="40"/>
        </w:rPr>
        <w:t>（五）加强政策宣贯</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3775D1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贯彻落实中央、省、江门市和我市市委市政府决策部署，补齐短板，夯实基础，全面推动我市制造业加快发展。</w:t>
      </w:r>
      <w:r>
        <w:rPr>
          <w:rFonts w:ascii="Times New Roman" w:hAnsi="Times New Roman" w:eastAsia="仿宋_GB2312" w:cs="Times New Roman"/>
          <w:sz w:val="32"/>
          <w:szCs w:val="40"/>
        </w:rPr>
        <w:t>加大政策宣传和解读力度，</w:t>
      </w:r>
      <w:r>
        <w:rPr>
          <w:rFonts w:ascii="Times New Roman" w:hAnsi="Times New Roman" w:eastAsia="仿宋_GB2312" w:cs="Times New Roman"/>
          <w:sz w:val="32"/>
          <w:szCs w:val="32"/>
        </w:rPr>
        <w:t>积极开展企业政策宣讲活动，让广大企业对各项优惠政策应知尽知、应享尽享，有更多的“政策获得感”。</w:t>
      </w:r>
      <w:r>
        <w:rPr>
          <w:rFonts w:ascii="Times New Roman" w:hAnsi="Times New Roman" w:eastAsia="仿宋_GB2312" w:cs="Times New Roman"/>
          <w:sz w:val="32"/>
          <w:szCs w:val="40"/>
        </w:rPr>
        <w:t>落实惠企支持政策，</w:t>
      </w:r>
      <w:r>
        <w:rPr>
          <w:rFonts w:ascii="Times New Roman" w:hAnsi="Times New Roman" w:eastAsia="仿宋_GB2312" w:cs="Times New Roman"/>
          <w:sz w:val="32"/>
          <w:szCs w:val="32"/>
        </w:rPr>
        <w:t>鼓励支持符合申报条件的企业申报设备奖励项目、贷款贴息项目、股权投资项目、省级企业技术中心项目、产值奖补等扶持先进制造业发展政策，让更多企业能享受到国家的政策红利。各主管部门持续跟踪、评价规划发展目标和重点任务实施情况，定期组织对发展较好的产业集群、产业园区、重点企业、重点项目予以通报表扬，总结推广发展经验。充分发挥新闻媒体的舆论导向和监督作用，做好先进制造业集群建设的宣传报道工作，持续营造全社会关心、支持、参与推动恩平先进制造业高质量发展的浓厚氛围。</w:t>
      </w:r>
    </w:p>
    <w:p w14:paraId="1C5E346A">
      <w:pPr>
        <w:spacing w:line="560" w:lineRule="exact"/>
        <w:outlineLvl w:val="0"/>
        <w:rPr>
          <w:rFonts w:ascii="Times New Roman" w:hAnsi="Times New Roman" w:eastAsia="仿宋_GB2312" w:cs="Times New Roman"/>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450C">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D478">
    <w:pPr>
      <w:pStyle w:val="10"/>
    </w:pPr>
    <w:r>
      <w:pict>
        <v:shape id="_x0000_s2050" o:spid="_x0000_s2050" o:spt="202" type="#_x0000_t202" style="position:absolute;left:0pt;margin-top:0pt;height:11.65pt;width:63.25pt;mso-position-horizontal:center;mso-position-horizontal-relative:margin;mso-wrap-style:none;z-index:251659264;mso-width-relative:page;mso-height-relative:page;" filled="f" stroked="f" coordsize="21600,21600" o:gfxdata="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fbhRNIAAAAEAQAA&#10;DwAAAAAAAAABACAAAAAiAAAAZHJzL2Rvd25yZXYueG1sUEsBAhQAFAAAAAgAh07iQC8uFn3mAQAA&#10;vQMAAA4AAAAAAAAAAQAgAAAAIQEAAGRycy9lMm9Eb2MueG1sUEsFBgAAAAAGAAYAWQEAAHkFAAAA&#10;AA==&#10;">
          <v:path/>
          <v:fill on="f" focussize="0,0"/>
          <v:stroke on="f" joinstyle="miter"/>
          <v:imagedata o:title=""/>
          <o:lock v:ext="edit"/>
          <v:textbox inset="0mm,0mm,0mm,0mm" style="mso-fit-shape-to-text:t;">
            <w:txbxContent>
              <w:p w14:paraId="29734403">
                <w:pPr>
                  <w:pStyle w:val="10"/>
                </w:pPr>
                <w:r>
                  <w:rPr>
                    <w:rFonts w:hint="eastAsia"/>
                  </w:rPr>
                  <w:t>第</w:t>
                </w:r>
                <w:r>
                  <w:fldChar w:fldCharType="begin"/>
                </w:r>
                <w:r>
                  <w:instrText xml:space="preserve"> PAGE  \* MERGEFORMAT </w:instrText>
                </w:r>
                <w:r>
                  <w:fldChar w:fldCharType="separate"/>
                </w:r>
                <w:r>
                  <w:t>64</w:t>
                </w:r>
                <w:r>
                  <w:fldChar w:fldCharType="end"/>
                </w:r>
                <w:r>
                  <w:rPr>
                    <w:rFonts w:hint="eastAsia"/>
                  </w:rPr>
                  <w:t>页共</w:t>
                </w:r>
                <w:r>
                  <w:fldChar w:fldCharType="begin"/>
                </w:r>
                <w:r>
                  <w:instrText xml:space="preserve"> NUMPAGES  \* MERGEFORMAT </w:instrText>
                </w:r>
                <w:r>
                  <w:fldChar w:fldCharType="separate"/>
                </w:r>
                <w:r>
                  <w:t>64</w:t>
                </w:r>
                <w: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44E9E"/>
    <w:multiLevelType w:val="multilevel"/>
    <w:tmpl w:val="6E044E9E"/>
    <w:lvl w:ilvl="0" w:tentative="0">
      <w:start w:val="2"/>
      <w:numFmt w:val="japaneseCounting"/>
      <w:lvlText w:val="%1、"/>
      <w:lvlJc w:val="left"/>
      <w:pPr>
        <w:tabs>
          <w:tab w:val="left" w:pos="0"/>
        </w:tabs>
        <w:ind w:left="1282" w:hanging="720"/>
      </w:pPr>
      <w:rPr>
        <w:rFonts w:hint="default"/>
      </w:rPr>
    </w:lvl>
    <w:lvl w:ilvl="1" w:tentative="0">
      <w:start w:val="1"/>
      <w:numFmt w:val="lowerLetter"/>
      <w:lvlText w:val="%2)"/>
      <w:lvlJc w:val="left"/>
      <w:pPr>
        <w:tabs>
          <w:tab w:val="left" w:pos="0"/>
        </w:tabs>
        <w:ind w:left="1402" w:hanging="420"/>
      </w:pPr>
    </w:lvl>
    <w:lvl w:ilvl="2" w:tentative="0">
      <w:start w:val="1"/>
      <w:numFmt w:val="lowerRoman"/>
      <w:lvlText w:val="%3."/>
      <w:lvlJc w:val="right"/>
      <w:pPr>
        <w:tabs>
          <w:tab w:val="left" w:pos="0"/>
        </w:tabs>
        <w:ind w:left="1822" w:hanging="420"/>
      </w:pPr>
    </w:lvl>
    <w:lvl w:ilvl="3" w:tentative="0">
      <w:start w:val="1"/>
      <w:numFmt w:val="decimal"/>
      <w:lvlText w:val="%4."/>
      <w:lvlJc w:val="left"/>
      <w:pPr>
        <w:tabs>
          <w:tab w:val="left" w:pos="0"/>
        </w:tabs>
        <w:ind w:left="2242" w:hanging="420"/>
      </w:pPr>
    </w:lvl>
    <w:lvl w:ilvl="4" w:tentative="0">
      <w:start w:val="1"/>
      <w:numFmt w:val="lowerLetter"/>
      <w:lvlText w:val="%5)"/>
      <w:lvlJc w:val="left"/>
      <w:pPr>
        <w:tabs>
          <w:tab w:val="left" w:pos="0"/>
        </w:tabs>
        <w:ind w:left="2662" w:hanging="420"/>
      </w:pPr>
    </w:lvl>
    <w:lvl w:ilvl="5" w:tentative="0">
      <w:start w:val="1"/>
      <w:numFmt w:val="lowerRoman"/>
      <w:lvlText w:val="%6."/>
      <w:lvlJc w:val="right"/>
      <w:pPr>
        <w:tabs>
          <w:tab w:val="left" w:pos="0"/>
        </w:tabs>
        <w:ind w:left="3082" w:hanging="420"/>
      </w:pPr>
    </w:lvl>
    <w:lvl w:ilvl="6" w:tentative="0">
      <w:start w:val="1"/>
      <w:numFmt w:val="decimal"/>
      <w:lvlText w:val="%7."/>
      <w:lvlJc w:val="left"/>
      <w:pPr>
        <w:tabs>
          <w:tab w:val="left" w:pos="0"/>
        </w:tabs>
        <w:ind w:left="3502" w:hanging="420"/>
      </w:pPr>
    </w:lvl>
    <w:lvl w:ilvl="7" w:tentative="0">
      <w:start w:val="1"/>
      <w:numFmt w:val="lowerLetter"/>
      <w:lvlText w:val="%8)"/>
      <w:lvlJc w:val="left"/>
      <w:pPr>
        <w:tabs>
          <w:tab w:val="left" w:pos="0"/>
        </w:tabs>
        <w:ind w:left="3922" w:hanging="420"/>
      </w:pPr>
    </w:lvl>
    <w:lvl w:ilvl="8" w:tentative="0">
      <w:start w:val="1"/>
      <w:numFmt w:val="lowerRoman"/>
      <w:lvlText w:val="%9."/>
      <w:lvlJc w:val="right"/>
      <w:pPr>
        <w:tabs>
          <w:tab w:val="left" w:pos="0"/>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wMTQxNTg4MWQ0YzNkN2M4NTkwZjQ1ZjFjN2I1NTgifQ=="/>
  </w:docVars>
  <w:rsids>
    <w:rsidRoot w:val="002D7DA9"/>
    <w:rsid w:val="00004A19"/>
    <w:rsid w:val="0001034E"/>
    <w:rsid w:val="00011610"/>
    <w:rsid w:val="00012A05"/>
    <w:rsid w:val="00013084"/>
    <w:rsid w:val="00013354"/>
    <w:rsid w:val="000134D2"/>
    <w:rsid w:val="00020FA3"/>
    <w:rsid w:val="00023E75"/>
    <w:rsid w:val="00026235"/>
    <w:rsid w:val="00033353"/>
    <w:rsid w:val="0003579A"/>
    <w:rsid w:val="00070525"/>
    <w:rsid w:val="00073BE1"/>
    <w:rsid w:val="00073FDB"/>
    <w:rsid w:val="0007440B"/>
    <w:rsid w:val="0007588D"/>
    <w:rsid w:val="00082005"/>
    <w:rsid w:val="0008497E"/>
    <w:rsid w:val="00085890"/>
    <w:rsid w:val="00093759"/>
    <w:rsid w:val="00097612"/>
    <w:rsid w:val="000A4280"/>
    <w:rsid w:val="000A5F0A"/>
    <w:rsid w:val="000A78EE"/>
    <w:rsid w:val="000B04A7"/>
    <w:rsid w:val="000B121D"/>
    <w:rsid w:val="000B4D26"/>
    <w:rsid w:val="000B55E3"/>
    <w:rsid w:val="000B768F"/>
    <w:rsid w:val="000C22E6"/>
    <w:rsid w:val="000D0F7A"/>
    <w:rsid w:val="000D5A5B"/>
    <w:rsid w:val="000E330C"/>
    <w:rsid w:val="000F1FA7"/>
    <w:rsid w:val="0010458D"/>
    <w:rsid w:val="00105799"/>
    <w:rsid w:val="00113B93"/>
    <w:rsid w:val="0011606A"/>
    <w:rsid w:val="0014277A"/>
    <w:rsid w:val="001431E1"/>
    <w:rsid w:val="00144209"/>
    <w:rsid w:val="00154D90"/>
    <w:rsid w:val="001655D5"/>
    <w:rsid w:val="00173F31"/>
    <w:rsid w:val="00184D3A"/>
    <w:rsid w:val="001933FF"/>
    <w:rsid w:val="001B1C25"/>
    <w:rsid w:val="001B2817"/>
    <w:rsid w:val="001B3EE8"/>
    <w:rsid w:val="001C09AF"/>
    <w:rsid w:val="001C3DAD"/>
    <w:rsid w:val="001C46F3"/>
    <w:rsid w:val="001D03AC"/>
    <w:rsid w:val="001D6937"/>
    <w:rsid w:val="001E7E6E"/>
    <w:rsid w:val="001F1EB9"/>
    <w:rsid w:val="001F572E"/>
    <w:rsid w:val="0020755B"/>
    <w:rsid w:val="00217A98"/>
    <w:rsid w:val="00220409"/>
    <w:rsid w:val="00225610"/>
    <w:rsid w:val="00231047"/>
    <w:rsid w:val="002371E8"/>
    <w:rsid w:val="00240DE6"/>
    <w:rsid w:val="00244F22"/>
    <w:rsid w:val="00262167"/>
    <w:rsid w:val="00262A7E"/>
    <w:rsid w:val="002742AE"/>
    <w:rsid w:val="00277ABE"/>
    <w:rsid w:val="00283AB7"/>
    <w:rsid w:val="0029149D"/>
    <w:rsid w:val="002A5FAC"/>
    <w:rsid w:val="002C097E"/>
    <w:rsid w:val="002C101F"/>
    <w:rsid w:val="002D7DA9"/>
    <w:rsid w:val="002E1A3A"/>
    <w:rsid w:val="002E3707"/>
    <w:rsid w:val="002E6A17"/>
    <w:rsid w:val="002F5975"/>
    <w:rsid w:val="002F5D8E"/>
    <w:rsid w:val="003033C3"/>
    <w:rsid w:val="00304192"/>
    <w:rsid w:val="003128C3"/>
    <w:rsid w:val="00314120"/>
    <w:rsid w:val="00322E48"/>
    <w:rsid w:val="0032740D"/>
    <w:rsid w:val="003323B3"/>
    <w:rsid w:val="00333B82"/>
    <w:rsid w:val="003379BE"/>
    <w:rsid w:val="00361265"/>
    <w:rsid w:val="00386395"/>
    <w:rsid w:val="003863F3"/>
    <w:rsid w:val="003A100F"/>
    <w:rsid w:val="003B216B"/>
    <w:rsid w:val="003C15E4"/>
    <w:rsid w:val="003C5540"/>
    <w:rsid w:val="003C5CB0"/>
    <w:rsid w:val="003D1F21"/>
    <w:rsid w:val="003D3BB6"/>
    <w:rsid w:val="003E677F"/>
    <w:rsid w:val="003E78EC"/>
    <w:rsid w:val="003F0BC7"/>
    <w:rsid w:val="003F0CE6"/>
    <w:rsid w:val="003F75BA"/>
    <w:rsid w:val="004001F9"/>
    <w:rsid w:val="00401B14"/>
    <w:rsid w:val="00403921"/>
    <w:rsid w:val="004046A5"/>
    <w:rsid w:val="004112EE"/>
    <w:rsid w:val="00413FB3"/>
    <w:rsid w:val="004254C3"/>
    <w:rsid w:val="0044273E"/>
    <w:rsid w:val="0044430F"/>
    <w:rsid w:val="0044596A"/>
    <w:rsid w:val="00460B9A"/>
    <w:rsid w:val="00465F39"/>
    <w:rsid w:val="00477988"/>
    <w:rsid w:val="00490D5D"/>
    <w:rsid w:val="00495722"/>
    <w:rsid w:val="004961EB"/>
    <w:rsid w:val="0049720E"/>
    <w:rsid w:val="004A7420"/>
    <w:rsid w:val="004B7238"/>
    <w:rsid w:val="004C03A2"/>
    <w:rsid w:val="004D49F4"/>
    <w:rsid w:val="004D5C2A"/>
    <w:rsid w:val="004F4026"/>
    <w:rsid w:val="004F5E49"/>
    <w:rsid w:val="005049E9"/>
    <w:rsid w:val="00507A0A"/>
    <w:rsid w:val="005179AE"/>
    <w:rsid w:val="005446B2"/>
    <w:rsid w:val="00552127"/>
    <w:rsid w:val="00555944"/>
    <w:rsid w:val="00560C3F"/>
    <w:rsid w:val="005778C1"/>
    <w:rsid w:val="005835BB"/>
    <w:rsid w:val="005871BB"/>
    <w:rsid w:val="005A23CC"/>
    <w:rsid w:val="005B02C2"/>
    <w:rsid w:val="005C1620"/>
    <w:rsid w:val="005C6A21"/>
    <w:rsid w:val="005D58C4"/>
    <w:rsid w:val="005E5FA8"/>
    <w:rsid w:val="005E79A3"/>
    <w:rsid w:val="0061402D"/>
    <w:rsid w:val="006174AA"/>
    <w:rsid w:val="00623136"/>
    <w:rsid w:val="006259B4"/>
    <w:rsid w:val="006260DB"/>
    <w:rsid w:val="00632D14"/>
    <w:rsid w:val="0065183E"/>
    <w:rsid w:val="006519FF"/>
    <w:rsid w:val="00656A27"/>
    <w:rsid w:val="00664BCA"/>
    <w:rsid w:val="006762BD"/>
    <w:rsid w:val="00681D81"/>
    <w:rsid w:val="006908AC"/>
    <w:rsid w:val="00693D49"/>
    <w:rsid w:val="00697444"/>
    <w:rsid w:val="006A0677"/>
    <w:rsid w:val="006A4FD7"/>
    <w:rsid w:val="006A5FEF"/>
    <w:rsid w:val="006B0621"/>
    <w:rsid w:val="006B6A27"/>
    <w:rsid w:val="006C7F80"/>
    <w:rsid w:val="006E3409"/>
    <w:rsid w:val="00707734"/>
    <w:rsid w:val="0072090C"/>
    <w:rsid w:val="00721CB1"/>
    <w:rsid w:val="00730E97"/>
    <w:rsid w:val="00732AAD"/>
    <w:rsid w:val="00734902"/>
    <w:rsid w:val="00736FD7"/>
    <w:rsid w:val="00740B9E"/>
    <w:rsid w:val="007459FE"/>
    <w:rsid w:val="00751DF4"/>
    <w:rsid w:val="00765587"/>
    <w:rsid w:val="00781F3A"/>
    <w:rsid w:val="0078213D"/>
    <w:rsid w:val="00782B8F"/>
    <w:rsid w:val="00784A89"/>
    <w:rsid w:val="00787787"/>
    <w:rsid w:val="0079011F"/>
    <w:rsid w:val="00793920"/>
    <w:rsid w:val="007A3B76"/>
    <w:rsid w:val="007A50A2"/>
    <w:rsid w:val="007B5D60"/>
    <w:rsid w:val="007C17DD"/>
    <w:rsid w:val="007C4E28"/>
    <w:rsid w:val="007D138F"/>
    <w:rsid w:val="007D2FCE"/>
    <w:rsid w:val="007D4473"/>
    <w:rsid w:val="007E2E3F"/>
    <w:rsid w:val="007E5639"/>
    <w:rsid w:val="007F26B6"/>
    <w:rsid w:val="007F71A6"/>
    <w:rsid w:val="00801892"/>
    <w:rsid w:val="0080297F"/>
    <w:rsid w:val="0081250B"/>
    <w:rsid w:val="00814B64"/>
    <w:rsid w:val="008257AB"/>
    <w:rsid w:val="00831F13"/>
    <w:rsid w:val="008342DA"/>
    <w:rsid w:val="00835014"/>
    <w:rsid w:val="008403FC"/>
    <w:rsid w:val="00843F09"/>
    <w:rsid w:val="00855046"/>
    <w:rsid w:val="00865B03"/>
    <w:rsid w:val="00877941"/>
    <w:rsid w:val="00883239"/>
    <w:rsid w:val="00887D25"/>
    <w:rsid w:val="00891628"/>
    <w:rsid w:val="008B2C40"/>
    <w:rsid w:val="008B352F"/>
    <w:rsid w:val="008B5492"/>
    <w:rsid w:val="008C13C2"/>
    <w:rsid w:val="008C2A61"/>
    <w:rsid w:val="008C7AF6"/>
    <w:rsid w:val="008D15E0"/>
    <w:rsid w:val="008D464F"/>
    <w:rsid w:val="008D721B"/>
    <w:rsid w:val="008E12D0"/>
    <w:rsid w:val="008E17D6"/>
    <w:rsid w:val="008E2C3C"/>
    <w:rsid w:val="008E65F3"/>
    <w:rsid w:val="008F1430"/>
    <w:rsid w:val="008F58D0"/>
    <w:rsid w:val="009141A2"/>
    <w:rsid w:val="0091571B"/>
    <w:rsid w:val="00925797"/>
    <w:rsid w:val="00926443"/>
    <w:rsid w:val="00931426"/>
    <w:rsid w:val="0093160F"/>
    <w:rsid w:val="0093713F"/>
    <w:rsid w:val="009551DB"/>
    <w:rsid w:val="00955D6B"/>
    <w:rsid w:val="009639E7"/>
    <w:rsid w:val="00966866"/>
    <w:rsid w:val="009777D4"/>
    <w:rsid w:val="00981AE2"/>
    <w:rsid w:val="00982365"/>
    <w:rsid w:val="0099244A"/>
    <w:rsid w:val="00994F89"/>
    <w:rsid w:val="0099529A"/>
    <w:rsid w:val="009A2C09"/>
    <w:rsid w:val="009A3A20"/>
    <w:rsid w:val="009B06EB"/>
    <w:rsid w:val="009B3141"/>
    <w:rsid w:val="009B39AA"/>
    <w:rsid w:val="009C1975"/>
    <w:rsid w:val="009C4272"/>
    <w:rsid w:val="009D355E"/>
    <w:rsid w:val="009F1F09"/>
    <w:rsid w:val="009F20FE"/>
    <w:rsid w:val="009F2B3D"/>
    <w:rsid w:val="009F3C01"/>
    <w:rsid w:val="00A160CA"/>
    <w:rsid w:val="00A31440"/>
    <w:rsid w:val="00A400EB"/>
    <w:rsid w:val="00A46DF1"/>
    <w:rsid w:val="00A64228"/>
    <w:rsid w:val="00A64349"/>
    <w:rsid w:val="00A703C5"/>
    <w:rsid w:val="00A83723"/>
    <w:rsid w:val="00A83C46"/>
    <w:rsid w:val="00A851B5"/>
    <w:rsid w:val="00A85D78"/>
    <w:rsid w:val="00A936B8"/>
    <w:rsid w:val="00AA37AB"/>
    <w:rsid w:val="00AB4D2D"/>
    <w:rsid w:val="00AC1924"/>
    <w:rsid w:val="00AC2D05"/>
    <w:rsid w:val="00AD28B3"/>
    <w:rsid w:val="00AD57F9"/>
    <w:rsid w:val="00AE3352"/>
    <w:rsid w:val="00AE7183"/>
    <w:rsid w:val="00AE72B7"/>
    <w:rsid w:val="00AF5C65"/>
    <w:rsid w:val="00B005D7"/>
    <w:rsid w:val="00B0364F"/>
    <w:rsid w:val="00B125B3"/>
    <w:rsid w:val="00B17064"/>
    <w:rsid w:val="00B25B94"/>
    <w:rsid w:val="00B25BEF"/>
    <w:rsid w:val="00B30C36"/>
    <w:rsid w:val="00B40E1A"/>
    <w:rsid w:val="00B466EB"/>
    <w:rsid w:val="00B47094"/>
    <w:rsid w:val="00B51324"/>
    <w:rsid w:val="00B51ABB"/>
    <w:rsid w:val="00B527CE"/>
    <w:rsid w:val="00B57844"/>
    <w:rsid w:val="00B635AC"/>
    <w:rsid w:val="00B72B97"/>
    <w:rsid w:val="00B77ABC"/>
    <w:rsid w:val="00B85818"/>
    <w:rsid w:val="00B879D5"/>
    <w:rsid w:val="00BB501B"/>
    <w:rsid w:val="00BB53D9"/>
    <w:rsid w:val="00BC561D"/>
    <w:rsid w:val="00BD09F3"/>
    <w:rsid w:val="00BD3B45"/>
    <w:rsid w:val="00C00734"/>
    <w:rsid w:val="00C07D35"/>
    <w:rsid w:val="00C171E5"/>
    <w:rsid w:val="00C200E6"/>
    <w:rsid w:val="00C301DE"/>
    <w:rsid w:val="00C327C2"/>
    <w:rsid w:val="00C368A8"/>
    <w:rsid w:val="00C43C22"/>
    <w:rsid w:val="00C46AE0"/>
    <w:rsid w:val="00C61CF0"/>
    <w:rsid w:val="00C620D0"/>
    <w:rsid w:val="00C65778"/>
    <w:rsid w:val="00C659D8"/>
    <w:rsid w:val="00C65E64"/>
    <w:rsid w:val="00C7299B"/>
    <w:rsid w:val="00C82086"/>
    <w:rsid w:val="00C949D3"/>
    <w:rsid w:val="00C95905"/>
    <w:rsid w:val="00CA483D"/>
    <w:rsid w:val="00CC2574"/>
    <w:rsid w:val="00CC64E3"/>
    <w:rsid w:val="00CD38FA"/>
    <w:rsid w:val="00CE0122"/>
    <w:rsid w:val="00CE3845"/>
    <w:rsid w:val="00CF1F15"/>
    <w:rsid w:val="00CF4676"/>
    <w:rsid w:val="00D2347E"/>
    <w:rsid w:val="00D35B3E"/>
    <w:rsid w:val="00D36D5F"/>
    <w:rsid w:val="00D53A47"/>
    <w:rsid w:val="00D545CC"/>
    <w:rsid w:val="00D54FE0"/>
    <w:rsid w:val="00D65BAF"/>
    <w:rsid w:val="00D74081"/>
    <w:rsid w:val="00D75A74"/>
    <w:rsid w:val="00D8209D"/>
    <w:rsid w:val="00D822E6"/>
    <w:rsid w:val="00D833E6"/>
    <w:rsid w:val="00D92197"/>
    <w:rsid w:val="00D960F0"/>
    <w:rsid w:val="00DA72F8"/>
    <w:rsid w:val="00DB6532"/>
    <w:rsid w:val="00DD177F"/>
    <w:rsid w:val="00DF1EBC"/>
    <w:rsid w:val="00E07367"/>
    <w:rsid w:val="00E23A68"/>
    <w:rsid w:val="00E34F39"/>
    <w:rsid w:val="00E40C0E"/>
    <w:rsid w:val="00E474DB"/>
    <w:rsid w:val="00E50589"/>
    <w:rsid w:val="00E549E4"/>
    <w:rsid w:val="00E5553E"/>
    <w:rsid w:val="00E63754"/>
    <w:rsid w:val="00E76B9A"/>
    <w:rsid w:val="00E76DE8"/>
    <w:rsid w:val="00E80D1E"/>
    <w:rsid w:val="00E85DB7"/>
    <w:rsid w:val="00E876AF"/>
    <w:rsid w:val="00E92ED9"/>
    <w:rsid w:val="00EA0BE3"/>
    <w:rsid w:val="00EA267F"/>
    <w:rsid w:val="00EA695C"/>
    <w:rsid w:val="00EA72DE"/>
    <w:rsid w:val="00EB61EA"/>
    <w:rsid w:val="00EC17F4"/>
    <w:rsid w:val="00EC3BFA"/>
    <w:rsid w:val="00EC7E53"/>
    <w:rsid w:val="00ED508E"/>
    <w:rsid w:val="00ED610F"/>
    <w:rsid w:val="00EE1211"/>
    <w:rsid w:val="00EE2F0A"/>
    <w:rsid w:val="00EE3CE1"/>
    <w:rsid w:val="00EF5AD3"/>
    <w:rsid w:val="00EF6E8E"/>
    <w:rsid w:val="00F02ACA"/>
    <w:rsid w:val="00F12709"/>
    <w:rsid w:val="00F21E9D"/>
    <w:rsid w:val="00F222A5"/>
    <w:rsid w:val="00F353A4"/>
    <w:rsid w:val="00F355C1"/>
    <w:rsid w:val="00F43B83"/>
    <w:rsid w:val="00F505F6"/>
    <w:rsid w:val="00F56708"/>
    <w:rsid w:val="00F577E3"/>
    <w:rsid w:val="00F57BA8"/>
    <w:rsid w:val="00F60724"/>
    <w:rsid w:val="00F650D7"/>
    <w:rsid w:val="00F660BD"/>
    <w:rsid w:val="00F70A17"/>
    <w:rsid w:val="00F70C15"/>
    <w:rsid w:val="00F75E5B"/>
    <w:rsid w:val="00F834CB"/>
    <w:rsid w:val="00F843E3"/>
    <w:rsid w:val="00F87AF8"/>
    <w:rsid w:val="00F87E0C"/>
    <w:rsid w:val="00F97435"/>
    <w:rsid w:val="00FA2960"/>
    <w:rsid w:val="00FA34BD"/>
    <w:rsid w:val="00FB1D58"/>
    <w:rsid w:val="00FB387D"/>
    <w:rsid w:val="00FB5E3E"/>
    <w:rsid w:val="00FB6C16"/>
    <w:rsid w:val="00FB74FA"/>
    <w:rsid w:val="00FB7791"/>
    <w:rsid w:val="00FD41B1"/>
    <w:rsid w:val="00FD7B68"/>
    <w:rsid w:val="00FE6249"/>
    <w:rsid w:val="00FF297F"/>
    <w:rsid w:val="00FF29FA"/>
    <w:rsid w:val="00FF5643"/>
    <w:rsid w:val="0F056A7E"/>
    <w:rsid w:val="12525F91"/>
    <w:rsid w:val="12C81CAF"/>
    <w:rsid w:val="1AE139C4"/>
    <w:rsid w:val="21C23DEA"/>
    <w:rsid w:val="227B299A"/>
    <w:rsid w:val="29B844D4"/>
    <w:rsid w:val="2FA65443"/>
    <w:rsid w:val="30A60557"/>
    <w:rsid w:val="33955182"/>
    <w:rsid w:val="339977F7"/>
    <w:rsid w:val="33F86C62"/>
    <w:rsid w:val="35B50D32"/>
    <w:rsid w:val="38806F82"/>
    <w:rsid w:val="3B312338"/>
    <w:rsid w:val="3D536596"/>
    <w:rsid w:val="3D657363"/>
    <w:rsid w:val="410669CB"/>
    <w:rsid w:val="41DE214C"/>
    <w:rsid w:val="43206BA6"/>
    <w:rsid w:val="48177DAF"/>
    <w:rsid w:val="4DE739DB"/>
    <w:rsid w:val="4F5209E5"/>
    <w:rsid w:val="508C0CCD"/>
    <w:rsid w:val="5375454A"/>
    <w:rsid w:val="58B313F3"/>
    <w:rsid w:val="5A515BDB"/>
    <w:rsid w:val="62700B6B"/>
    <w:rsid w:val="65D73B8A"/>
    <w:rsid w:val="688B61ED"/>
    <w:rsid w:val="74062367"/>
    <w:rsid w:val="744457C8"/>
    <w:rsid w:val="749A06FE"/>
    <w:rsid w:val="7713573C"/>
    <w:rsid w:val="79E5229E"/>
    <w:rsid w:val="7FD62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libri Light" w:hAnsi="Calibri Light" w:cs="Times New Roman"/>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libri Light" w:hAnsi="Calibri Light" w:eastAsia="黑体" w:cs="Times New Roman"/>
      <w:sz w:val="20"/>
      <w:szCs w:val="20"/>
    </w:rPr>
  </w:style>
  <w:style w:type="paragraph" w:styleId="6">
    <w:name w:val="Document Map"/>
    <w:basedOn w:val="1"/>
    <w:qFormat/>
    <w:uiPriority w:val="0"/>
    <w:rPr>
      <w:rFonts w:ascii="宋体"/>
      <w:sz w:val="18"/>
      <w:szCs w:val="18"/>
    </w:rPr>
  </w:style>
  <w:style w:type="paragraph" w:styleId="7">
    <w:name w:val="annotation text"/>
    <w:basedOn w:val="1"/>
    <w:qFormat/>
    <w:uiPriority w:val="0"/>
    <w:pPr>
      <w:jc w:val="left"/>
    </w:pPr>
  </w:style>
  <w:style w:type="paragraph" w:styleId="8">
    <w:name w:val="toc 3"/>
    <w:basedOn w:val="1"/>
    <w:next w:val="1"/>
    <w:qFormat/>
    <w:uiPriority w:val="39"/>
    <w:pPr>
      <w:ind w:left="400" w:leftChars="4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tabs>
        <w:tab w:val="center" w:pos="4153"/>
        <w:tab w:val="right" w:pos="8306"/>
      </w:tabs>
      <w:snapToGrid w:val="0"/>
    </w:pPr>
    <w:rPr>
      <w:sz w:val="18"/>
    </w:rPr>
  </w:style>
  <w:style w:type="paragraph" w:styleId="12">
    <w:name w:val="toc 1"/>
    <w:basedOn w:val="1"/>
    <w:next w:val="1"/>
    <w:qFormat/>
    <w:uiPriority w:val="39"/>
  </w:style>
  <w:style w:type="paragraph" w:styleId="1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4">
    <w:name w:val="footnote text"/>
    <w:basedOn w:val="1"/>
    <w:qFormat/>
    <w:uiPriority w:val="0"/>
    <w:pPr>
      <w:snapToGrid w:val="0"/>
      <w:jc w:val="left"/>
    </w:pPr>
    <w:rPr>
      <w:sz w:val="18"/>
      <w:szCs w:val="18"/>
    </w:rPr>
  </w:style>
  <w:style w:type="paragraph" w:styleId="15">
    <w:name w:val="table of figures"/>
    <w:basedOn w:val="1"/>
    <w:next w:val="1"/>
    <w:qFormat/>
    <w:uiPriority w:val="0"/>
    <w:pPr>
      <w:ind w:left="400" w:leftChars="200" w:hanging="200" w:hangingChars="200"/>
    </w:pPr>
  </w:style>
  <w:style w:type="paragraph" w:styleId="16">
    <w:name w:val="toc 2"/>
    <w:basedOn w:val="1"/>
    <w:next w:val="1"/>
    <w:qFormat/>
    <w:uiPriority w:val="39"/>
    <w:pPr>
      <w:ind w:left="200" w:leftChars="200"/>
    </w:p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18">
    <w:name w:val="Normal (Web)"/>
    <w:basedOn w:val="1"/>
    <w:qFormat/>
    <w:uiPriority w:val="0"/>
    <w:pPr>
      <w:widowControl/>
      <w:spacing w:before="100" w:beforeAutospacing="1" w:after="100" w:afterAutospacing="1"/>
      <w:jc w:val="left"/>
    </w:pPr>
    <w:rPr>
      <w:rFonts w:ascii="宋体" w:cs="宋体"/>
      <w:kern w:val="0"/>
      <w:sz w:val="24"/>
    </w:rPr>
  </w:style>
  <w:style w:type="paragraph" w:styleId="19">
    <w:name w:val="annotation subject"/>
    <w:basedOn w:val="7"/>
    <w:next w:val="7"/>
    <w:qFormat/>
    <w:uiPriority w:val="0"/>
    <w:rPr>
      <w:b/>
      <w:bCs/>
    </w:rPr>
  </w:style>
  <w:style w:type="table" w:styleId="21">
    <w:name w:val="Table Grid"/>
    <w:basedOn w:val="20"/>
    <w:unhideWhenUsed/>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qFormat/>
    <w:uiPriority w:val="0"/>
    <w:rPr>
      <w:color w:val="954F72"/>
      <w:u w:val="single"/>
    </w:rPr>
  </w:style>
  <w:style w:type="character" w:styleId="25">
    <w:name w:val="Emphasis"/>
    <w:basedOn w:val="22"/>
    <w:qFormat/>
    <w:uiPriority w:val="0"/>
    <w:rPr>
      <w:i/>
      <w:iCs/>
    </w:rPr>
  </w:style>
  <w:style w:type="character" w:styleId="26">
    <w:name w:val="Hyperlink"/>
    <w:basedOn w:val="22"/>
    <w:qFormat/>
    <w:uiPriority w:val="99"/>
    <w:rPr>
      <w:color w:val="0563C1"/>
      <w:u w:val="single"/>
    </w:rPr>
  </w:style>
  <w:style w:type="character" w:styleId="27">
    <w:name w:val="annotation reference"/>
    <w:basedOn w:val="22"/>
    <w:qFormat/>
    <w:uiPriority w:val="0"/>
    <w:rPr>
      <w:sz w:val="21"/>
      <w:szCs w:val="21"/>
    </w:rPr>
  </w:style>
  <w:style w:type="character" w:styleId="28">
    <w:name w:val="footnote reference"/>
    <w:basedOn w:val="22"/>
    <w:qFormat/>
    <w:uiPriority w:val="0"/>
    <w:rPr>
      <w:vertAlign w:val="superscript"/>
    </w:rPr>
  </w:style>
  <w:style w:type="paragraph" w:customStyle="1" w:styleId="29">
    <w:name w:val="TOC 标题1"/>
    <w:basedOn w:val="2"/>
    <w:next w:val="1"/>
    <w:qFormat/>
    <w:uiPriority w:val="0"/>
    <w:pPr>
      <w:widowControl/>
      <w:spacing w:before="240" w:after="0" w:line="259" w:lineRule="auto"/>
      <w:jc w:val="left"/>
      <w:outlineLvl w:val="9"/>
    </w:pPr>
    <w:rPr>
      <w:rFonts w:ascii="Calibri Light" w:hAnsi="Calibri Light" w:cs="Times New Roman"/>
      <w:b w:val="0"/>
      <w:bCs w:val="0"/>
      <w:color w:val="2E74B5"/>
      <w:kern w:val="0"/>
      <w:sz w:val="32"/>
      <w:szCs w:val="32"/>
    </w:rPr>
  </w:style>
  <w:style w:type="paragraph" w:styleId="30">
    <w:name w:val="List Paragraph"/>
    <w:basedOn w:val="1"/>
    <w:qFormat/>
    <w:uiPriority w:val="0"/>
    <w:pPr>
      <w:ind w:firstLine="200" w:firstLineChars="200"/>
    </w:pPr>
  </w:style>
  <w:style w:type="character" w:customStyle="1" w:styleId="31">
    <w:name w:val="font01"/>
    <w:basedOn w:val="22"/>
    <w:qFormat/>
    <w:uiPriority w:val="0"/>
    <w:rPr>
      <w:rFonts w:ascii="宋体" w:eastAsia="宋体" w:cs="宋体"/>
      <w:color w:val="000000"/>
      <w:sz w:val="21"/>
      <w:szCs w:val="21"/>
      <w:u w:val="none"/>
    </w:rPr>
  </w:style>
  <w:style w:type="paragraph" w:customStyle="1" w:styleId="32">
    <w:name w:val="WPSOffice手动目录 1"/>
    <w:qFormat/>
    <w:uiPriority w:val="0"/>
    <w:rPr>
      <w:rFonts w:ascii="Calibri" w:hAnsi="Calibri" w:eastAsia="宋体" w:cs="Arial"/>
      <w:lang w:val="en-US" w:eastAsia="zh-CN" w:bidi="ar-SA"/>
    </w:rPr>
  </w:style>
  <w:style w:type="paragraph" w:customStyle="1" w:styleId="33">
    <w:name w:val="WPSOffice手动目录 2"/>
    <w:qFormat/>
    <w:uiPriority w:val="0"/>
    <w:pPr>
      <w:ind w:left="200" w:leftChars="200"/>
    </w:pPr>
    <w:rPr>
      <w:rFonts w:ascii="Calibri" w:hAnsi="Calibri" w:eastAsia="宋体" w:cs="Arial"/>
      <w:lang w:val="en-US" w:eastAsia="zh-CN" w:bidi="ar-SA"/>
    </w:rPr>
  </w:style>
  <w:style w:type="paragraph" w:customStyle="1" w:styleId="34">
    <w:name w:val="规划-正文"/>
    <w:basedOn w:val="1"/>
    <w:qFormat/>
    <w:uiPriority w:val="0"/>
    <w:pPr>
      <w:spacing w:line="560" w:lineRule="exact"/>
      <w:ind w:firstLine="200" w:firstLineChars="200"/>
    </w:pPr>
    <w:rPr>
      <w:rFonts w:ascii="Times New Roman" w:hAnsi="Times New Roman" w:eastAsia="仿宋_GB2312"/>
      <w:kern w:val="0"/>
      <w:sz w:val="32"/>
      <w:szCs w:val="32"/>
    </w:rPr>
  </w:style>
  <w:style w:type="paragraph" w:customStyle="1" w:styleId="35">
    <w:name w:val="msonormal"/>
    <w:basedOn w:val="1"/>
    <w:qFormat/>
    <w:uiPriority w:val="0"/>
    <w:pPr>
      <w:widowControl/>
      <w:spacing w:before="100" w:beforeAutospacing="1" w:after="100" w:afterAutospacing="1"/>
      <w:jc w:val="left"/>
    </w:pPr>
    <w:rPr>
      <w:rFonts w:ascii="宋体" w:cs="宋体"/>
      <w:kern w:val="0"/>
      <w:sz w:val="24"/>
    </w:rPr>
  </w:style>
  <w:style w:type="paragraph" w:customStyle="1" w:styleId="36">
    <w:name w:val="font5"/>
    <w:basedOn w:val="1"/>
    <w:qFormat/>
    <w:uiPriority w:val="0"/>
    <w:pPr>
      <w:widowControl/>
      <w:spacing w:before="100" w:beforeAutospacing="1" w:after="100" w:afterAutospacing="1"/>
      <w:jc w:val="left"/>
    </w:pPr>
    <w:rPr>
      <w:rFonts w:ascii="等线" w:eastAsia="等线" w:cs="宋体"/>
      <w:kern w:val="0"/>
      <w:sz w:val="18"/>
      <w:szCs w:val="18"/>
    </w:rPr>
  </w:style>
  <w:style w:type="paragraph" w:customStyle="1" w:styleId="37">
    <w:name w:val="xl63"/>
    <w:basedOn w:val="1"/>
    <w:qFormat/>
    <w:uiPriority w:val="0"/>
    <w:pPr>
      <w:widowControl/>
      <w:spacing w:before="100" w:beforeAutospacing="1" w:after="100" w:afterAutospacing="1"/>
      <w:jc w:val="center"/>
    </w:pPr>
    <w:rPr>
      <w:rFonts w:ascii="宋体" w:cs="宋体"/>
      <w:kern w:val="0"/>
      <w:sz w:val="24"/>
    </w:rPr>
  </w:style>
  <w:style w:type="paragraph" w:customStyle="1" w:styleId="3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0">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1">
    <w:name w:val="xl67"/>
    <w:basedOn w:val="1"/>
    <w:qFormat/>
    <w:uiPriority w:val="0"/>
    <w:pPr>
      <w:widowControl/>
      <w:pBdr>
        <w:left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character" w:customStyle="1" w:styleId="43">
    <w:name w:val="NormalCharacter"/>
    <w:qFormat/>
    <w:uiPriority w:val="0"/>
    <w:rPr>
      <w:rFonts w:ascii="Times New Roman" w:hAnsi="Times New Roman" w:eastAsia="宋体"/>
    </w:rPr>
  </w:style>
  <w:style w:type="paragraph" w:customStyle="1" w:styleId="44">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38784-687B-4D32-A1DC-928744F70830}">
  <ds:schemaRefs/>
</ds:datastoreItem>
</file>

<file path=docProps/app.xml><?xml version="1.0" encoding="utf-8"?>
<Properties xmlns="http://schemas.openxmlformats.org/officeDocument/2006/extended-properties" xmlns:vt="http://schemas.openxmlformats.org/officeDocument/2006/docPropsVTypes">
  <Template>Normal</Template>
  <Company>gz</Company>
  <Pages>64</Pages>
  <Words>9313</Words>
  <Characters>9767</Characters>
  <Lines>261</Lines>
  <Paragraphs>73</Paragraphs>
  <TotalTime>31</TotalTime>
  <ScaleCrop>false</ScaleCrop>
  <LinksUpToDate>false</LinksUpToDate>
  <CharactersWithSpaces>9858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2024-05-31T01:15:00Z</dcterms:created>
  <dc:creator>帅</dc:creator>
  <cp:lastModifiedBy>taamzaujoeng</cp:lastModifiedBy>
  <cp:lastPrinted>2024-07-10T07:56:00Z</cp:lastPrinted>
  <dcterms:modified xsi:type="dcterms:W3CDTF">2024-12-26T13:50:02Z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DBB945113EAB4070B11EAB09D322E99F_12</vt:lpwstr>
  </property>
</Properties>
</file>