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36"/>
          <w:szCs w:val="36"/>
        </w:rPr>
      </w:pPr>
      <w:r>
        <w:rPr>
          <w:rFonts w:hint="eastAsia"/>
          <w:sz w:val="36"/>
          <w:szCs w:val="36"/>
        </w:rPr>
        <w:t>20</w:t>
      </w:r>
      <w:r>
        <w:rPr>
          <w:rFonts w:hint="eastAsia"/>
          <w:sz w:val="36"/>
          <w:szCs w:val="36"/>
          <w:lang w:val="en-US" w:eastAsia="zh-CN"/>
        </w:rPr>
        <w:t>21</w:t>
      </w:r>
      <w:r>
        <w:rPr>
          <w:rFonts w:hint="eastAsia"/>
          <w:sz w:val="36"/>
          <w:szCs w:val="36"/>
        </w:rPr>
        <w:t>年恩平市</w:t>
      </w:r>
      <w:r>
        <w:rPr>
          <w:rFonts w:hint="eastAsia"/>
          <w:sz w:val="36"/>
          <w:szCs w:val="36"/>
          <w:lang w:eastAsia="zh-CN"/>
        </w:rPr>
        <w:t>市场监督管理</w:t>
      </w:r>
      <w:r>
        <w:rPr>
          <w:rFonts w:hint="eastAsia"/>
          <w:sz w:val="36"/>
          <w:szCs w:val="36"/>
        </w:rPr>
        <w:t>局“三公”经费支出决算</w:t>
      </w:r>
    </w:p>
    <w:tbl>
      <w:tblPr>
        <w:tblStyle w:val="7"/>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793"/>
        <w:gridCol w:w="793"/>
        <w:gridCol w:w="793"/>
        <w:gridCol w:w="795"/>
        <w:gridCol w:w="796"/>
        <w:gridCol w:w="793"/>
        <w:gridCol w:w="793"/>
        <w:gridCol w:w="795"/>
        <w:gridCol w:w="793"/>
        <w:gridCol w:w="793"/>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9520"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7145" w:type="dxa"/>
            <w:gridSpan w:val="9"/>
            <w:tcBorders>
              <w:top w:val="nil"/>
              <w:left w:val="nil"/>
              <w:bottom w:val="single" w:color="auto" w:sz="4" w:space="0"/>
              <w:right w:val="nil"/>
            </w:tcBorders>
            <w:vAlign w:val="center"/>
          </w:tcPr>
          <w:p>
            <w:pPr>
              <w:spacing w:line="288" w:lineRule="auto"/>
              <w:jc w:val="left"/>
              <w:rPr>
                <w:rFonts w:ascii="宋体" w:hAnsi="宋体" w:cs="宋体"/>
                <w:sz w:val="28"/>
                <w:szCs w:val="28"/>
              </w:rPr>
            </w:pPr>
            <w:bookmarkStart w:id="0" w:name="PO_part2DivName7"/>
            <w:r>
              <w:rPr>
                <w:rFonts w:hint="eastAsia" w:ascii="宋体" w:hAnsi="宋体" w:cs="宋体"/>
                <w:kern w:val="0"/>
                <w:sz w:val="20"/>
                <w:szCs w:val="20"/>
              </w:rPr>
              <w:t xml:space="preserve"> 部门</w:t>
            </w:r>
            <w:r>
              <w:rPr>
                <w:rFonts w:hint="eastAsia" w:ascii="宋体" w:hAnsi="宋体" w:cs="宋体"/>
                <w:kern w:val="0"/>
                <w:sz w:val="11"/>
                <w:szCs w:val="11"/>
              </w:rPr>
              <w:t xml:space="preserve"> </w:t>
            </w:r>
            <w:bookmarkEnd w:id="0"/>
            <w:r>
              <w:rPr>
                <w:rFonts w:hint="eastAsia" w:ascii="宋体" w:hAnsi="宋体" w:cs="宋体"/>
                <w:kern w:val="0"/>
                <w:sz w:val="20"/>
                <w:szCs w:val="20"/>
              </w:rPr>
              <w:t>：</w:t>
            </w:r>
            <w:bookmarkStart w:id="1" w:name="PO_part2Table7DivName1"/>
            <w:r>
              <w:rPr>
                <w:rFonts w:hint="eastAsia" w:ascii="宋体" w:hAnsi="宋体" w:cs="宋体"/>
                <w:kern w:val="0"/>
                <w:sz w:val="20"/>
                <w:szCs w:val="20"/>
              </w:rPr>
              <w:t xml:space="preserve">恩平市市场监督管理局 </w:t>
            </w:r>
            <w:bookmarkEnd w:id="1"/>
          </w:p>
        </w:tc>
        <w:tc>
          <w:tcPr>
            <w:tcW w:w="2375" w:type="dxa"/>
            <w:gridSpan w:val="3"/>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4764"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预算数</w:t>
            </w:r>
          </w:p>
        </w:tc>
        <w:tc>
          <w:tcPr>
            <w:tcW w:w="4756"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794"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793"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2381"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796"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79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793"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2381"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789"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794" w:type="dxa"/>
            <w:vMerge w:val="continue"/>
          </w:tcPr>
          <w:p>
            <w:pPr>
              <w:spacing w:line="288" w:lineRule="auto"/>
              <w:rPr>
                <w:rFonts w:ascii="宋体" w:hAnsi="宋体" w:cs="宋体"/>
                <w:szCs w:val="21"/>
              </w:rPr>
            </w:pPr>
          </w:p>
        </w:tc>
        <w:tc>
          <w:tcPr>
            <w:tcW w:w="793" w:type="dxa"/>
            <w:vMerge w:val="continue"/>
          </w:tcPr>
          <w:p>
            <w:pPr>
              <w:spacing w:line="288" w:lineRule="auto"/>
              <w:rPr>
                <w:rFonts w:ascii="宋体" w:hAnsi="宋体" w:cs="宋体"/>
                <w:szCs w:val="21"/>
              </w:rPr>
            </w:pPr>
          </w:p>
        </w:tc>
        <w:tc>
          <w:tcPr>
            <w:tcW w:w="793"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793"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795"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796" w:type="dxa"/>
            <w:vMerge w:val="continue"/>
          </w:tcPr>
          <w:p>
            <w:pPr>
              <w:spacing w:line="288" w:lineRule="auto"/>
              <w:rPr>
                <w:rFonts w:ascii="宋体" w:hAnsi="宋体" w:cs="宋体"/>
                <w:szCs w:val="21"/>
              </w:rPr>
            </w:pPr>
          </w:p>
        </w:tc>
        <w:tc>
          <w:tcPr>
            <w:tcW w:w="793" w:type="dxa"/>
            <w:vMerge w:val="continue"/>
          </w:tcPr>
          <w:p>
            <w:pPr>
              <w:spacing w:line="288" w:lineRule="auto"/>
              <w:rPr>
                <w:rFonts w:ascii="宋体" w:hAnsi="宋体" w:cs="宋体"/>
                <w:szCs w:val="21"/>
              </w:rPr>
            </w:pPr>
          </w:p>
        </w:tc>
        <w:tc>
          <w:tcPr>
            <w:tcW w:w="793" w:type="dxa"/>
            <w:vMerge w:val="continue"/>
          </w:tcPr>
          <w:p>
            <w:pPr>
              <w:spacing w:line="288" w:lineRule="auto"/>
              <w:rPr>
                <w:rFonts w:ascii="宋体" w:hAnsi="宋体" w:cs="宋体"/>
                <w:szCs w:val="21"/>
              </w:rPr>
            </w:pPr>
          </w:p>
        </w:tc>
        <w:tc>
          <w:tcPr>
            <w:tcW w:w="795"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793"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793"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789"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794"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793"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793"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793"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795"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796"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793"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793"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795"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793"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793"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789"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794"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73.93</w:t>
            </w:r>
          </w:p>
        </w:tc>
        <w:tc>
          <w:tcPr>
            <w:tcW w:w="793"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793"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63.00</w:t>
            </w:r>
          </w:p>
        </w:tc>
        <w:tc>
          <w:tcPr>
            <w:tcW w:w="793"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795"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63.00</w:t>
            </w:r>
          </w:p>
        </w:tc>
        <w:tc>
          <w:tcPr>
            <w:tcW w:w="796"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10.93</w:t>
            </w:r>
          </w:p>
        </w:tc>
        <w:tc>
          <w:tcPr>
            <w:tcW w:w="793" w:type="dxa"/>
            <w:vAlign w:val="center"/>
          </w:tcPr>
          <w:p>
            <w:pPr>
              <w:widowControl/>
              <w:jc w:val="right"/>
              <w:rPr>
                <w:rFonts w:ascii="宋体" w:hAnsi="宋体" w:cs="宋体"/>
                <w:kern w:val="0"/>
                <w:szCs w:val="21"/>
              </w:rPr>
            </w:pPr>
            <w:r>
              <w:rPr>
                <w:rFonts w:ascii="宋体" w:hAnsi="宋体" w:cs="宋体"/>
                <w:kern w:val="0"/>
                <w:szCs w:val="21"/>
              </w:rPr>
              <w:t>44.89</w:t>
            </w:r>
          </w:p>
        </w:tc>
        <w:tc>
          <w:tcPr>
            <w:tcW w:w="793"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795" w:type="dxa"/>
            <w:vAlign w:val="center"/>
          </w:tcPr>
          <w:p>
            <w:pPr>
              <w:widowControl/>
              <w:jc w:val="right"/>
              <w:rPr>
                <w:rFonts w:ascii="宋体" w:hAnsi="宋体" w:cs="宋体"/>
                <w:kern w:val="0"/>
                <w:szCs w:val="21"/>
              </w:rPr>
            </w:pPr>
            <w:r>
              <w:rPr>
                <w:rFonts w:ascii="宋体" w:hAnsi="宋体" w:cs="宋体"/>
                <w:kern w:val="0"/>
                <w:szCs w:val="21"/>
              </w:rPr>
              <w:t>41.67</w:t>
            </w:r>
          </w:p>
        </w:tc>
        <w:tc>
          <w:tcPr>
            <w:tcW w:w="793"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793" w:type="dxa"/>
            <w:vAlign w:val="center"/>
          </w:tcPr>
          <w:p>
            <w:pPr>
              <w:widowControl/>
              <w:jc w:val="right"/>
              <w:rPr>
                <w:rFonts w:ascii="宋体" w:hAnsi="宋体" w:cs="宋体"/>
                <w:kern w:val="0"/>
                <w:szCs w:val="21"/>
              </w:rPr>
            </w:pPr>
            <w:r>
              <w:rPr>
                <w:rFonts w:ascii="宋体" w:hAnsi="宋体" w:cs="宋体"/>
                <w:kern w:val="0"/>
                <w:szCs w:val="21"/>
              </w:rPr>
              <w:t>41.67</w:t>
            </w:r>
          </w:p>
        </w:tc>
        <w:tc>
          <w:tcPr>
            <w:tcW w:w="789" w:type="dxa"/>
            <w:vAlign w:val="center"/>
          </w:tcPr>
          <w:p>
            <w:pPr>
              <w:widowControl/>
              <w:jc w:val="right"/>
              <w:rPr>
                <w:rFonts w:ascii="宋体" w:hAnsi="宋体" w:cs="宋体"/>
                <w:kern w:val="0"/>
                <w:szCs w:val="21"/>
              </w:rPr>
            </w:pPr>
            <w:r>
              <w:rPr>
                <w:rFonts w:ascii="宋体" w:hAnsi="宋体" w:cs="宋体"/>
                <w:kern w:val="0"/>
                <w:szCs w:val="21"/>
              </w:rPr>
              <w:t>3.22</w:t>
            </w:r>
          </w:p>
        </w:tc>
      </w:tr>
    </w:tbl>
    <w:p>
      <w:pPr>
        <w:spacing w:line="360" w:lineRule="auto"/>
        <w:ind w:firstLine="420" w:firstLineChars="200"/>
        <w:rPr>
          <w:sz w:val="13"/>
          <w:szCs w:val="13"/>
        </w:rPr>
      </w:pPr>
      <w:r>
        <w:rPr>
          <w:rFonts w:hint="eastAsia" w:ascii="宋体" w:hAnsi="宋体" w:cs="宋体"/>
          <w:szCs w:val="21"/>
        </w:rPr>
        <w:t>注：</w:t>
      </w:r>
      <w:bookmarkStart w:id="2" w:name="PO_part2Table1Remark7"/>
      <w:r>
        <w:rPr>
          <w:rFonts w:hint="eastAsia" w:ascii="宋体" w:hAnsi="宋体" w:cs="宋体"/>
          <w:szCs w:val="21"/>
        </w:rPr>
        <w:t>本表反映部门本年度“三公”经费支出预决算情况。其中，预算数为“三公”经费全年预算数，反映按规定程序调整后的预算数；决算数是包括当年一般公共预算财政拨款和以前年度结转资金安排的实际支出。</w:t>
      </w:r>
      <w:bookmarkEnd w:id="2"/>
    </w:p>
    <w:p/>
    <w:p>
      <w:pPr>
        <w:ind w:firstLine="640" w:firstLineChars="200"/>
        <w:rPr>
          <w:rFonts w:ascii="仿宋_GB2312" w:hAnsi="宋体" w:eastAsia="仿宋_GB2312" w:cs="宋体"/>
          <w:sz w:val="32"/>
          <w:szCs w:val="32"/>
        </w:rPr>
      </w:pPr>
      <w:bookmarkStart w:id="3" w:name="PO_part3A3B1C1DivNameYear1"/>
      <w:r>
        <w:rPr>
          <w:rFonts w:hint="eastAsia" w:ascii="仿宋_GB2312" w:hAnsi="宋体" w:eastAsia="仿宋_GB2312" w:cs="宋体"/>
          <w:sz w:val="32"/>
          <w:szCs w:val="32"/>
        </w:rPr>
        <w:t xml:space="preserve"> 恩平市市场监督管理局</w:t>
      </w:r>
      <w:r>
        <w:rPr>
          <w:rFonts w:ascii="仿宋_GB2312" w:hAnsi="宋体" w:eastAsia="仿宋_GB2312" w:cs="宋体"/>
          <w:sz w:val="32"/>
          <w:szCs w:val="32"/>
        </w:rPr>
        <w:t>202</w:t>
      </w:r>
      <w:r>
        <w:rPr>
          <w:rFonts w:hint="eastAsia" w:ascii="仿宋_GB2312" w:hAnsi="宋体" w:eastAsia="仿宋_GB2312" w:cs="宋体"/>
          <w:sz w:val="32"/>
          <w:szCs w:val="32"/>
          <w:lang w:val="en-US" w:eastAsia="zh-CN"/>
        </w:rPr>
        <w:t>1</w:t>
      </w:r>
      <w:r>
        <w:rPr>
          <w:rFonts w:hint="eastAsia" w:ascii="仿宋_GB2312" w:hAnsi="宋体" w:eastAsia="仿宋_GB2312" w:cs="宋体"/>
          <w:sz w:val="11"/>
          <w:szCs w:val="11"/>
        </w:rPr>
        <w:t xml:space="preserve"> </w:t>
      </w:r>
      <w:bookmarkEnd w:id="3"/>
      <w:r>
        <w:rPr>
          <w:rFonts w:hint="eastAsia" w:ascii="仿宋_GB2312" w:hAnsi="宋体" w:eastAsia="仿宋_GB2312" w:cs="宋体"/>
          <w:sz w:val="32"/>
          <w:szCs w:val="32"/>
        </w:rPr>
        <w:t>年度“三公”经费财政拨款支出决算为</w:t>
      </w:r>
      <w:r>
        <w:rPr>
          <w:rFonts w:hint="eastAsia" w:ascii="仿宋_GB2312" w:hAnsi="宋体" w:eastAsia="仿宋_GB2312" w:cs="宋体"/>
          <w:sz w:val="32"/>
          <w:szCs w:val="32"/>
          <w:lang w:val="en-US" w:eastAsia="zh-CN"/>
        </w:rPr>
        <w:t>44.89</w:t>
      </w:r>
      <w:r>
        <w:rPr>
          <w:rFonts w:hint="eastAsia" w:ascii="仿宋_GB2312" w:hAnsi="宋体" w:eastAsia="仿宋_GB2312" w:cs="宋体"/>
          <w:sz w:val="32"/>
          <w:szCs w:val="32"/>
        </w:rPr>
        <w:t>万元，完成预算</w:t>
      </w:r>
      <w:r>
        <w:rPr>
          <w:rFonts w:hint="eastAsia" w:ascii="仿宋_GB2312" w:hAnsi="宋体" w:eastAsia="仿宋_GB2312" w:cs="宋体"/>
          <w:sz w:val="32"/>
          <w:szCs w:val="32"/>
          <w:lang w:val="en-US" w:eastAsia="zh-CN"/>
        </w:rPr>
        <w:t>73.93</w:t>
      </w:r>
      <w:r>
        <w:rPr>
          <w:rFonts w:hint="eastAsia" w:ascii="仿宋_GB2312" w:hAnsi="宋体" w:eastAsia="仿宋_GB2312" w:cs="宋体"/>
          <w:sz w:val="32"/>
          <w:szCs w:val="32"/>
        </w:rPr>
        <w:t>万元的</w:t>
      </w:r>
      <w:bookmarkStart w:id="4" w:name="PO_part3A3B1C1Percent1"/>
      <w:r>
        <w:rPr>
          <w:rFonts w:hint="eastAsia" w:ascii="仿宋_GB2312" w:hAnsi="宋体" w:eastAsia="仿宋_GB2312" w:cs="宋体"/>
          <w:sz w:val="32"/>
          <w:szCs w:val="32"/>
          <w:lang w:val="en-US" w:eastAsia="zh-CN"/>
        </w:rPr>
        <w:t>60.72</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4"/>
      <w:r>
        <w:rPr>
          <w:rFonts w:hint="eastAsia" w:ascii="仿宋_GB2312" w:hAnsi="宋体" w:eastAsia="仿宋_GB2312" w:cs="宋体"/>
          <w:sz w:val="32"/>
          <w:szCs w:val="32"/>
        </w:rPr>
        <w:t>。其中：因公出国（境）费支出决算为</w:t>
      </w:r>
      <w:bookmarkStart w:id="5" w:name="PO_part3A3B1C1qz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5"/>
      <w:r>
        <w:rPr>
          <w:rFonts w:hint="eastAsia" w:ascii="仿宋_GB2312" w:hAnsi="宋体" w:eastAsia="仿宋_GB2312" w:cs="宋体"/>
          <w:sz w:val="32"/>
          <w:szCs w:val="32"/>
        </w:rPr>
        <w:t>万元，完成预算</w:t>
      </w:r>
      <w:bookmarkStart w:id="6" w:name="PO_part3A3B1C1qzys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6"/>
      <w:r>
        <w:rPr>
          <w:rFonts w:hint="eastAsia" w:ascii="仿宋_GB2312" w:hAnsi="宋体" w:eastAsia="仿宋_GB2312" w:cs="宋体"/>
          <w:sz w:val="32"/>
          <w:szCs w:val="32"/>
        </w:rPr>
        <w:t>万元的</w:t>
      </w:r>
      <w:bookmarkStart w:id="7" w:name="PO_part3A3B1C1qzPercent1"/>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7"/>
      <w:r>
        <w:rPr>
          <w:rFonts w:hint="eastAsia" w:ascii="仿宋_GB2312" w:hAnsi="宋体" w:eastAsia="仿宋_GB2312" w:cs="宋体"/>
          <w:sz w:val="32"/>
          <w:szCs w:val="32"/>
        </w:rPr>
        <w:t>；公务用车购置及运行费支出决算为</w:t>
      </w:r>
      <w:bookmarkStart w:id="8" w:name="PO_part3A3B1C1qzAmount2"/>
      <w:r>
        <w:rPr>
          <w:rFonts w:ascii="仿宋_GB2312" w:hAnsi="宋体" w:eastAsia="仿宋_GB2312" w:cs="宋体"/>
          <w:sz w:val="32"/>
          <w:szCs w:val="32"/>
        </w:rPr>
        <w:t>41.67</w:t>
      </w:r>
      <w:r>
        <w:rPr>
          <w:rFonts w:hint="eastAsia" w:ascii="仿宋_GB2312" w:hAnsi="宋体" w:eastAsia="仿宋_GB2312" w:cs="宋体"/>
          <w:sz w:val="11"/>
          <w:szCs w:val="11"/>
        </w:rPr>
        <w:t xml:space="preserve"> </w:t>
      </w:r>
      <w:bookmarkEnd w:id="8"/>
      <w:r>
        <w:rPr>
          <w:rFonts w:hint="eastAsia" w:ascii="仿宋_GB2312" w:hAnsi="宋体" w:eastAsia="仿宋_GB2312" w:cs="宋体"/>
          <w:sz w:val="32"/>
          <w:szCs w:val="32"/>
        </w:rPr>
        <w:t>万元，完成预算</w:t>
      </w:r>
      <w:bookmarkStart w:id="9" w:name="PO_part3A3B1C1qzysAmount2"/>
      <w:r>
        <w:rPr>
          <w:rFonts w:hint="eastAsia" w:ascii="仿宋_GB2312" w:hAnsi="宋体" w:eastAsia="仿宋_GB2312" w:cs="宋体"/>
          <w:sz w:val="32"/>
          <w:szCs w:val="32"/>
          <w:lang w:val="en-US" w:eastAsia="zh-CN"/>
        </w:rPr>
        <w:t>63.00</w:t>
      </w:r>
      <w:r>
        <w:rPr>
          <w:rFonts w:hint="eastAsia" w:ascii="仿宋_GB2312" w:hAnsi="宋体" w:eastAsia="仿宋_GB2312" w:cs="宋体"/>
          <w:sz w:val="11"/>
          <w:szCs w:val="11"/>
        </w:rPr>
        <w:t xml:space="preserve"> </w:t>
      </w:r>
      <w:bookmarkEnd w:id="9"/>
      <w:r>
        <w:rPr>
          <w:rFonts w:hint="eastAsia" w:ascii="仿宋_GB2312" w:hAnsi="宋体" w:eastAsia="仿宋_GB2312" w:cs="宋体"/>
          <w:sz w:val="32"/>
          <w:szCs w:val="32"/>
        </w:rPr>
        <w:t>万元的</w:t>
      </w:r>
      <w:bookmarkStart w:id="10" w:name="PO_part3A3B1C1qzPercent2"/>
      <w:r>
        <w:rPr>
          <w:rFonts w:hint="eastAsia" w:ascii="仿宋_GB2312" w:hAnsi="宋体" w:eastAsia="仿宋_GB2312" w:cs="宋体"/>
          <w:sz w:val="32"/>
          <w:szCs w:val="32"/>
          <w:lang w:val="en-US" w:eastAsia="zh-CN"/>
        </w:rPr>
        <w:t>66.14</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0"/>
      <w:r>
        <w:rPr>
          <w:rFonts w:hint="eastAsia" w:ascii="仿宋_GB2312" w:hAnsi="宋体" w:eastAsia="仿宋_GB2312" w:cs="宋体"/>
          <w:sz w:val="32"/>
          <w:szCs w:val="32"/>
        </w:rPr>
        <w:t>（其中：公务用车购置支出决算为</w:t>
      </w:r>
      <w:bookmarkStart w:id="11" w:name="PO_part3A3B1C1qzAmount4"/>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1"/>
      <w:r>
        <w:rPr>
          <w:rFonts w:hint="eastAsia" w:ascii="仿宋_GB2312" w:hAnsi="宋体" w:eastAsia="仿宋_GB2312" w:cs="宋体"/>
          <w:sz w:val="32"/>
          <w:szCs w:val="32"/>
        </w:rPr>
        <w:t>万元，完成预算</w:t>
      </w:r>
      <w:bookmarkStart w:id="12" w:name="PO_part3A3B1C1qzysAmount4"/>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2"/>
      <w:r>
        <w:rPr>
          <w:rFonts w:hint="eastAsia" w:ascii="仿宋_GB2312" w:hAnsi="宋体" w:eastAsia="仿宋_GB2312" w:cs="宋体"/>
          <w:sz w:val="32"/>
          <w:szCs w:val="32"/>
        </w:rPr>
        <w:t>万元的</w:t>
      </w:r>
      <w:bookmarkStart w:id="13" w:name="PO_part3A3B1C1qzPercent4"/>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3"/>
      <w:r>
        <w:rPr>
          <w:rFonts w:hint="eastAsia" w:ascii="仿宋_GB2312" w:hAnsi="宋体" w:eastAsia="仿宋_GB2312" w:cs="宋体"/>
          <w:sz w:val="32"/>
          <w:szCs w:val="32"/>
        </w:rPr>
        <w:t>；公务用车运行费支出决算为</w:t>
      </w:r>
      <w:bookmarkStart w:id="14" w:name="PO_part3A3B1C1qzAmount5"/>
      <w:r>
        <w:rPr>
          <w:rFonts w:ascii="仿宋_GB2312" w:hAnsi="宋体" w:eastAsia="仿宋_GB2312" w:cs="宋体"/>
          <w:sz w:val="32"/>
          <w:szCs w:val="32"/>
        </w:rPr>
        <w:t>41.67</w:t>
      </w:r>
      <w:r>
        <w:rPr>
          <w:rFonts w:hint="eastAsia" w:ascii="仿宋_GB2312" w:hAnsi="宋体" w:eastAsia="仿宋_GB2312" w:cs="宋体"/>
          <w:sz w:val="11"/>
          <w:szCs w:val="11"/>
        </w:rPr>
        <w:t xml:space="preserve"> </w:t>
      </w:r>
      <w:bookmarkEnd w:id="14"/>
      <w:r>
        <w:rPr>
          <w:rFonts w:hint="eastAsia" w:ascii="仿宋_GB2312" w:hAnsi="宋体" w:eastAsia="仿宋_GB2312" w:cs="宋体"/>
          <w:sz w:val="32"/>
          <w:szCs w:val="32"/>
        </w:rPr>
        <w:t>万元，完成预算</w:t>
      </w:r>
      <w:bookmarkStart w:id="15" w:name="PO_part3A3B1C1qzysAmount5"/>
      <w:r>
        <w:rPr>
          <w:rFonts w:hint="eastAsia" w:ascii="仿宋_GB2312" w:hAnsi="宋体" w:eastAsia="仿宋_GB2312" w:cs="宋体"/>
          <w:sz w:val="32"/>
          <w:szCs w:val="32"/>
          <w:lang w:val="en-US" w:eastAsia="zh-CN"/>
        </w:rPr>
        <w:t>63.00</w:t>
      </w:r>
      <w:r>
        <w:rPr>
          <w:rFonts w:hint="eastAsia" w:ascii="仿宋_GB2312" w:hAnsi="宋体" w:eastAsia="仿宋_GB2312" w:cs="宋体"/>
          <w:sz w:val="11"/>
          <w:szCs w:val="11"/>
        </w:rPr>
        <w:t xml:space="preserve"> </w:t>
      </w:r>
      <w:bookmarkEnd w:id="15"/>
      <w:r>
        <w:rPr>
          <w:rFonts w:hint="eastAsia" w:ascii="仿宋_GB2312" w:hAnsi="宋体" w:eastAsia="仿宋_GB2312" w:cs="宋体"/>
          <w:sz w:val="32"/>
          <w:szCs w:val="32"/>
        </w:rPr>
        <w:t>万元的</w:t>
      </w:r>
      <w:bookmarkStart w:id="16" w:name="PO_part3A3B1C1qzPercent5"/>
      <w:r>
        <w:rPr>
          <w:rFonts w:hint="eastAsia" w:ascii="仿宋_GB2312" w:hAnsi="宋体" w:eastAsia="仿宋_GB2312" w:cs="宋体"/>
          <w:sz w:val="32"/>
          <w:szCs w:val="32"/>
          <w:lang w:val="en-US" w:eastAsia="zh-CN"/>
        </w:rPr>
        <w:t>66.14</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6"/>
      <w:r>
        <w:rPr>
          <w:rFonts w:hint="eastAsia" w:ascii="仿宋_GB2312" w:hAnsi="宋体" w:eastAsia="仿宋_GB2312" w:cs="宋体"/>
          <w:sz w:val="32"/>
          <w:szCs w:val="32"/>
        </w:rPr>
        <w:t>）；公务接待费支出决算为</w:t>
      </w:r>
      <w:bookmarkStart w:id="17" w:name="PO_part3A3B1C1qzAmount3"/>
      <w:r>
        <w:rPr>
          <w:rFonts w:ascii="仿宋_GB2312" w:hAnsi="宋体" w:eastAsia="仿宋_GB2312" w:cs="宋体"/>
          <w:sz w:val="32"/>
          <w:szCs w:val="32"/>
        </w:rPr>
        <w:t>3.22</w:t>
      </w:r>
      <w:r>
        <w:rPr>
          <w:rFonts w:hint="eastAsia" w:ascii="仿宋_GB2312" w:hAnsi="宋体" w:eastAsia="仿宋_GB2312" w:cs="宋体"/>
          <w:sz w:val="11"/>
          <w:szCs w:val="11"/>
        </w:rPr>
        <w:t xml:space="preserve"> </w:t>
      </w:r>
      <w:bookmarkEnd w:id="17"/>
      <w:r>
        <w:rPr>
          <w:rFonts w:hint="eastAsia" w:ascii="仿宋_GB2312" w:hAnsi="宋体" w:eastAsia="仿宋_GB2312" w:cs="宋体"/>
          <w:sz w:val="32"/>
          <w:szCs w:val="32"/>
        </w:rPr>
        <w:t>万元，完成预算</w:t>
      </w:r>
      <w:bookmarkStart w:id="18" w:name="PO_part3A3B1C1qzysAmount3"/>
      <w:r>
        <w:rPr>
          <w:rFonts w:hint="eastAsia" w:ascii="仿宋_GB2312" w:hAnsi="宋体" w:eastAsia="仿宋_GB2312" w:cs="宋体"/>
          <w:sz w:val="32"/>
          <w:szCs w:val="32"/>
          <w:lang w:val="en-US" w:eastAsia="zh-CN"/>
        </w:rPr>
        <w:t>10.93</w:t>
      </w:r>
      <w:r>
        <w:rPr>
          <w:rFonts w:hint="eastAsia" w:ascii="仿宋_GB2312" w:hAnsi="宋体" w:eastAsia="仿宋_GB2312" w:cs="宋体"/>
          <w:sz w:val="11"/>
          <w:szCs w:val="11"/>
        </w:rPr>
        <w:t xml:space="preserve"> </w:t>
      </w:r>
      <w:bookmarkEnd w:id="18"/>
      <w:r>
        <w:rPr>
          <w:rFonts w:hint="eastAsia" w:ascii="仿宋_GB2312" w:hAnsi="宋体" w:eastAsia="仿宋_GB2312" w:cs="宋体"/>
          <w:sz w:val="32"/>
          <w:szCs w:val="32"/>
        </w:rPr>
        <w:t>万元的</w:t>
      </w:r>
      <w:bookmarkStart w:id="19" w:name="PO_part3A3B1C1qzPercent3"/>
      <w:r>
        <w:rPr>
          <w:rFonts w:hint="eastAsia" w:ascii="仿宋_GB2312" w:hAnsi="宋体" w:eastAsia="仿宋_GB2312" w:cs="宋体"/>
          <w:sz w:val="32"/>
          <w:szCs w:val="32"/>
          <w:lang w:val="en-US" w:eastAsia="zh-CN"/>
        </w:rPr>
        <w:t>29.46</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9"/>
      <w:r>
        <w:rPr>
          <w:rFonts w:hint="eastAsia" w:ascii="仿宋_GB2312" w:hAnsi="宋体" w:eastAsia="仿宋_GB2312" w:cs="宋体"/>
          <w:sz w:val="32"/>
          <w:szCs w:val="32"/>
        </w:rPr>
        <w:t>。</w:t>
      </w:r>
    </w:p>
    <w:p>
      <w:pPr>
        <w:ind w:firstLine="640" w:firstLineChars="200"/>
      </w:pPr>
      <w:bookmarkStart w:id="20" w:name="PO_part3A3B1C1Year1"/>
      <w:r>
        <w:rPr>
          <w:rFonts w:ascii="仿宋_GB2312" w:hAnsi="宋体" w:eastAsia="仿宋_GB2312" w:cs="宋体"/>
          <w:sz w:val="32"/>
          <w:szCs w:val="32"/>
        </w:rPr>
        <w:t>2021</w:t>
      </w:r>
      <w:r>
        <w:rPr>
          <w:rFonts w:hint="eastAsia" w:ascii="仿宋_GB2312" w:hAnsi="宋体" w:eastAsia="仿宋_GB2312" w:cs="宋体"/>
          <w:sz w:val="11"/>
          <w:szCs w:val="11"/>
        </w:rPr>
        <w:t xml:space="preserve"> </w:t>
      </w:r>
      <w:bookmarkEnd w:id="20"/>
      <w:r>
        <w:rPr>
          <w:rFonts w:hint="eastAsia" w:ascii="仿宋_GB2312" w:hAnsi="宋体" w:eastAsia="仿宋_GB2312" w:cs="宋体"/>
          <w:sz w:val="32"/>
          <w:szCs w:val="32"/>
        </w:rPr>
        <w:t>年度“三公”经费支出决算</w:t>
      </w:r>
      <w:bookmarkStart w:id="21" w:name="PO_part3A3B1C1Diff1"/>
      <w:r>
        <w:rPr>
          <w:rFonts w:hint="eastAsia" w:ascii="仿宋_GB2312" w:hAnsi="宋体" w:eastAsia="仿宋_GB2312" w:cs="宋体"/>
          <w:sz w:val="32"/>
          <w:szCs w:val="32"/>
        </w:rPr>
        <w:t>小于</w:t>
      </w:r>
      <w:r>
        <w:rPr>
          <w:rFonts w:hint="eastAsia" w:ascii="仿宋_GB2312" w:hAnsi="宋体" w:eastAsia="仿宋_GB2312" w:cs="宋体"/>
          <w:sz w:val="11"/>
          <w:szCs w:val="11"/>
        </w:rPr>
        <w:t xml:space="preserve"> </w:t>
      </w:r>
      <w:bookmarkEnd w:id="21"/>
      <w:r>
        <w:rPr>
          <w:rFonts w:hint="eastAsia" w:ascii="仿宋_GB2312" w:hAnsi="宋体" w:eastAsia="仿宋_GB2312" w:cs="宋体"/>
          <w:sz w:val="32"/>
          <w:szCs w:val="32"/>
        </w:rPr>
        <w:t>预算数的主要情况：</w:t>
      </w:r>
      <w:bookmarkStart w:id="22" w:name="PO_part3A3B1C1DiffReason1"/>
      <w:r>
        <w:rPr>
          <w:rFonts w:hint="eastAsia" w:ascii="仿宋_GB2312" w:hAnsi="宋体" w:eastAsia="仿宋_GB2312" w:cs="宋体"/>
          <w:sz w:val="32"/>
          <w:szCs w:val="32"/>
          <w:lang w:eastAsia="zh-CN"/>
        </w:rPr>
        <w:t>一是</w:t>
      </w:r>
      <w:r>
        <w:rPr>
          <w:rFonts w:hint="eastAsia" w:ascii="仿宋_GB2312" w:hAnsi="宋体" w:eastAsia="仿宋_GB2312" w:cs="宋体"/>
          <w:sz w:val="32"/>
          <w:szCs w:val="32"/>
        </w:rPr>
        <w:t>认真贯彻落实中央八项规定精神和厉行节约的要求，从严控制“三公”经费开支，全年实际支出比预算有所节约</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 </w:t>
      </w:r>
      <w:bookmarkEnd w:id="22"/>
      <w:bookmarkStart w:id="23" w:name="_GoBack"/>
      <w:bookmarkEnd w:id="2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2C"/>
    <w:rsid w:val="000328E3"/>
    <w:rsid w:val="00575F46"/>
    <w:rsid w:val="00707142"/>
    <w:rsid w:val="009E4E2C"/>
    <w:rsid w:val="00B9762C"/>
    <w:rsid w:val="00BE7FAC"/>
    <w:rsid w:val="00F83DC9"/>
    <w:rsid w:val="031D6E9D"/>
    <w:rsid w:val="10B72435"/>
    <w:rsid w:val="74422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标题 1 Char"/>
    <w:basedOn w:val="8"/>
    <w:link w:val="2"/>
    <w:qFormat/>
    <w:uiPriority w:val="9"/>
    <w:rPr>
      <w:rFonts w:ascii="Calibri" w:hAnsi="Calibri" w:eastAsia="宋体" w:cs="Times New Roman"/>
      <w:b/>
      <w:bCs/>
      <w:kern w:val="44"/>
      <w:sz w:val="44"/>
      <w:szCs w:val="44"/>
    </w:rPr>
  </w:style>
  <w:style w:type="character" w:customStyle="1" w:styleId="12">
    <w:name w:val="标题 2 Char"/>
    <w:basedOn w:val="8"/>
    <w:link w:val="3"/>
    <w:qFormat/>
    <w:uiPriority w:val="9"/>
    <w:rPr>
      <w:rFonts w:asciiTheme="majorHAnsi" w:hAnsiTheme="majorHAnsi" w:eastAsiaTheme="majorEastAsia" w:cstheme="majorBidi"/>
      <w:b/>
      <w:bCs/>
      <w:sz w:val="32"/>
      <w:szCs w:val="32"/>
    </w:rPr>
  </w:style>
  <w:style w:type="character" w:customStyle="1" w:styleId="13">
    <w:name w:val="批注框文本 Char"/>
    <w:basedOn w:val="8"/>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125</Words>
  <Characters>713</Characters>
  <Lines>5</Lines>
  <Paragraphs>1</Paragraphs>
  <TotalTime>0</TotalTime>
  <ScaleCrop>false</ScaleCrop>
  <LinksUpToDate>false</LinksUpToDate>
  <CharactersWithSpaces>837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2020-11-25T08:11:00Z</dcterms:created>
  <dc:creator>Administrator</dc:creator>
  <cp:lastModifiedBy>泡泡小阿狸</cp:lastModifiedBy>
  <cp:lastPrinted>2021-10-11T02:45:00Z</cp:lastPrinted>
  <dcterms:modified xsi:type="dcterms:W3CDTF">2022-09-28T02:58:44Z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00187B2E43C54FC4BB5F9CE114F63A77</vt:lpwstr>
  </property>
</Properties>
</file>