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spacing w:line="600" w:lineRule="exact"/>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关于进一步完善国家医保谈判药品</w:t>
      </w:r>
    </w:p>
    <w:p>
      <w:pPr>
        <w:shd w:val="clear"/>
        <w:spacing w:line="600" w:lineRule="exact"/>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“双通道”试点工作方案</w:t>
      </w:r>
    </w:p>
    <w:p>
      <w:pPr>
        <w:widowControl/>
        <w:shd w:val="clear"/>
        <w:spacing w:line="600" w:lineRule="exact"/>
        <w:jc w:val="left"/>
        <w:rPr>
          <w:rFonts w:ascii="仿宋" w:hAnsi="仿宋" w:eastAsia="仿宋" w:cs="仿宋"/>
          <w:sz w:val="32"/>
          <w:szCs w:val="32"/>
        </w:rPr>
      </w:pPr>
    </w:p>
    <w:p>
      <w:pPr>
        <w:keepNext w:val="0"/>
        <w:keepLines w:val="0"/>
        <w:pageBreakBefore w:val="0"/>
        <w:widowControl/>
        <w:shd w:val="clear"/>
        <w:kinsoku/>
        <w:overflowPunct/>
        <w:topLinePunct w:val="0"/>
        <w:autoSpaceDE/>
        <w:autoSpaceDN/>
        <w:bidi w:val="0"/>
        <w:adjustRightInd w:val="0"/>
        <w:snapToGrid w:val="0"/>
        <w:spacing w:line="60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根据《广东省医疗保障局 广东省卫生健康委员会 广东省药品监督管理局关于建立完善国家医保谈判药品“双通道”管理机制的实施意见》（粤医保发〔2021〕40号）和《广东省医疗保障局 广东省卫生健康委转发关于适应国家医保谈判常态化持续做好谈判药品落地工作的通知》（粤医保函〔2021〕277号）要求，为进一步完善我市国家医保谈判药品“双通道”试点工作，并结合我市前期试点实施情况，制定本工作方案。</w:t>
      </w:r>
    </w:p>
    <w:p>
      <w:pPr>
        <w:pStyle w:val="8"/>
        <w:keepNext w:val="0"/>
        <w:keepLines w:val="0"/>
        <w:pageBreakBefore w:val="0"/>
        <w:shd w:val="clear"/>
        <w:kinsoku/>
        <w:overflowPunct/>
        <w:topLinePunct w:val="0"/>
        <w:autoSpaceDE/>
        <w:autoSpaceDN/>
        <w:bidi w:val="0"/>
        <w:adjustRightInd w:val="0"/>
        <w:snapToGrid w:val="0"/>
        <w:spacing w:beforeAutospacing="0" w:afterAutospacing="0" w:line="600" w:lineRule="exact"/>
        <w:ind w:left="0" w:firstLine="640" w:firstLineChars="200"/>
        <w:jc w:val="both"/>
        <w:textAlignment w:val="auto"/>
        <w:rPr>
          <w:rStyle w:val="11"/>
          <w:rFonts w:hint="eastAsia" w:ascii="黑体" w:hAnsi="黑体" w:eastAsia="黑体" w:cs="黑体"/>
          <w:b w:val="0"/>
          <w:bCs/>
          <w:sz w:val="32"/>
          <w:szCs w:val="32"/>
          <w:shd w:val="clear" w:color="auto" w:fill="FFFFFF"/>
        </w:rPr>
      </w:pPr>
      <w:r>
        <w:rPr>
          <w:rStyle w:val="11"/>
          <w:rFonts w:hint="eastAsia" w:ascii="黑体" w:hAnsi="黑体" w:eastAsia="黑体" w:cs="黑体"/>
          <w:b w:val="0"/>
          <w:bCs/>
          <w:sz w:val="32"/>
          <w:szCs w:val="32"/>
          <w:shd w:val="clear" w:color="auto" w:fill="FFFFFF"/>
        </w:rPr>
        <w:t>一、总体目标</w:t>
      </w:r>
    </w:p>
    <w:p>
      <w:pPr>
        <w:keepNext w:val="0"/>
        <w:keepLines w:val="0"/>
        <w:pageBreakBefore w:val="0"/>
        <w:widowControl/>
        <w:shd w:val="clear" w:color="auto"/>
        <w:kinsoku/>
        <w:overflowPunct/>
        <w:topLinePunct w:val="0"/>
        <w:autoSpaceDE/>
        <w:autoSpaceDN/>
        <w:bidi w:val="0"/>
        <w:adjustRightInd w:val="0"/>
        <w:snapToGrid w:val="0"/>
        <w:spacing w:line="60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坚持习近平新时代中国特色社会主义思想为指导，全面贯彻党的十九大和十九届二中、三中、四中、五中、六中全会精神，深入贯彻习近平总书记对广东重要讲话和重要指示批示精神，坚持以人民健康为中心，加快建立完善谈判药品“双通道”管理机制，通过规范药品流通和使用，将用药保障渠道扩大到医保定点零售药店，破解部分谈判药品进院难、落地难的问题，更好地满足人民群众用药需求，不断增强人民群众获得感、幸福感、安全感。</w:t>
      </w:r>
    </w:p>
    <w:p>
      <w:pPr>
        <w:pStyle w:val="8"/>
        <w:keepNext w:val="0"/>
        <w:keepLines w:val="0"/>
        <w:pageBreakBefore w:val="0"/>
        <w:shd w:val="clear"/>
        <w:kinsoku/>
        <w:overflowPunct/>
        <w:topLinePunct w:val="0"/>
        <w:autoSpaceDE/>
        <w:autoSpaceDN/>
        <w:bidi w:val="0"/>
        <w:adjustRightInd w:val="0"/>
        <w:snapToGrid w:val="0"/>
        <w:spacing w:beforeAutospacing="0" w:afterAutospacing="0" w:line="600" w:lineRule="exact"/>
        <w:ind w:left="0" w:firstLine="640" w:firstLineChars="200"/>
        <w:jc w:val="both"/>
        <w:textAlignment w:val="auto"/>
        <w:rPr>
          <w:rStyle w:val="11"/>
          <w:rFonts w:hint="eastAsia" w:ascii="黑体" w:hAnsi="黑体" w:eastAsia="黑体" w:cs="黑体"/>
          <w:b w:val="0"/>
          <w:bCs/>
          <w:sz w:val="32"/>
          <w:szCs w:val="32"/>
          <w:shd w:val="clear" w:color="auto" w:fill="FFFFFF"/>
        </w:rPr>
      </w:pPr>
      <w:r>
        <w:rPr>
          <w:rStyle w:val="11"/>
          <w:rFonts w:hint="eastAsia" w:ascii="黑体" w:hAnsi="黑体" w:eastAsia="黑体" w:cs="黑体"/>
          <w:b w:val="0"/>
          <w:bCs/>
          <w:sz w:val="32"/>
          <w:szCs w:val="32"/>
          <w:shd w:val="clear" w:color="auto" w:fill="FFFFFF"/>
        </w:rPr>
        <w:t>二、贯彻“双通道”药品范围</w:t>
      </w:r>
    </w:p>
    <w:p>
      <w:pPr>
        <w:keepNext w:val="0"/>
        <w:keepLines w:val="0"/>
        <w:pageBreakBefore w:val="0"/>
        <w:widowControl/>
        <w:numPr>
          <w:ilvl w:val="255"/>
          <w:numId w:val="0"/>
        </w:numPr>
        <w:shd w:val="clear"/>
        <w:kinsoku/>
        <w:wordWrap w:val="0"/>
        <w:overflowPunct/>
        <w:topLinePunct w:val="0"/>
        <w:autoSpaceDE/>
        <w:autoSpaceDN/>
        <w:bidi w:val="0"/>
        <w:adjustRightInd w:val="0"/>
        <w:snapToGrid w:val="0"/>
        <w:spacing w:line="60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双通道”是指通过医保定点医疗机构和医保定点零售药店（以下简称定点医疗机构、定点零售药店）两个渠道，满足谈判药品、慢性病用药（麻醉药品、精神药品、医疗用毒性药品除外，下同）供应保障、临床使用等方面的合理需求，并同步纳入医保支付的机制。我市“双通道”药品范围扩至省医保局公布的2022年度291种“双通道”药品，并根据省医保局调整情况动态更新。</w:t>
      </w:r>
    </w:p>
    <w:p>
      <w:pPr>
        <w:keepNext w:val="0"/>
        <w:keepLines w:val="0"/>
        <w:pageBreakBefore w:val="0"/>
        <w:widowControl/>
        <w:numPr>
          <w:ilvl w:val="255"/>
          <w:numId w:val="0"/>
        </w:numPr>
        <w:shd w:val="clear"/>
        <w:kinsoku/>
        <w:overflowPunct/>
        <w:topLinePunct w:val="0"/>
        <w:autoSpaceDE/>
        <w:autoSpaceDN/>
        <w:bidi w:val="0"/>
        <w:adjustRightInd w:val="0"/>
        <w:snapToGrid w:val="0"/>
        <w:spacing w:line="600" w:lineRule="exact"/>
        <w:ind w:left="0"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三、落实“双通道”药品供应</w:t>
      </w:r>
    </w:p>
    <w:p>
      <w:pPr>
        <w:keepNext w:val="0"/>
        <w:keepLines w:val="0"/>
        <w:pageBreakBefore w:val="0"/>
        <w:widowControl/>
        <w:numPr>
          <w:ilvl w:val="255"/>
          <w:numId w:val="0"/>
        </w:numPr>
        <w:shd w:val="clear"/>
        <w:kinsoku/>
        <w:overflowPunct/>
        <w:topLinePunct w:val="0"/>
        <w:autoSpaceDE/>
        <w:autoSpaceDN/>
        <w:bidi w:val="0"/>
        <w:adjustRightInd w:val="0"/>
        <w:snapToGrid w:val="0"/>
        <w:spacing w:line="60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“双通道”药品供应，定点医疗机构是主体，定点零售药店是补充。根据《广东省医疗保障局 广东省卫生健康委转发关于适应国家医保谈判常态化持续做好谈判药品落地工作的通知》（粤医保函〔2021〕277号）要求，各县（市、区）要督导属地定点医疗机构优先采购、使用“双通道”药品，建立院内药品配备与医保药品目录调整联动机制，应配尽配“双通道”药品，不得以医保总额限制、医疗机构用药目录数量限制、药占比、次均费用等为由影响谈判药品在我市落地。</w:t>
      </w:r>
    </w:p>
    <w:p>
      <w:pPr>
        <w:keepNext w:val="0"/>
        <w:keepLines w:val="0"/>
        <w:pageBreakBefore w:val="0"/>
        <w:widowControl/>
        <w:shd w:val="clear"/>
        <w:kinsoku/>
        <w:overflowPunct/>
        <w:topLinePunct w:val="0"/>
        <w:autoSpaceDE/>
        <w:autoSpaceDN/>
        <w:bidi w:val="0"/>
        <w:adjustRightInd w:val="0"/>
        <w:snapToGrid w:val="0"/>
        <w:spacing w:line="600" w:lineRule="exact"/>
        <w:ind w:left="0"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四、规范“双通道”试点管理</w:t>
      </w:r>
    </w:p>
    <w:p>
      <w:pPr>
        <w:keepNext w:val="0"/>
        <w:keepLines w:val="0"/>
        <w:pageBreakBefore w:val="0"/>
        <w:widowControl/>
        <w:numPr>
          <w:ilvl w:val="255"/>
          <w:numId w:val="0"/>
        </w:numPr>
        <w:shd w:val="clear"/>
        <w:kinsoku/>
        <w:overflowPunct/>
        <w:topLinePunct w:val="0"/>
        <w:autoSpaceDE/>
        <w:autoSpaceDN/>
        <w:bidi w:val="0"/>
        <w:adjustRightInd w:val="0"/>
        <w:snapToGrid w:val="0"/>
        <w:spacing w:line="60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按照“公开、公平、公正”的原则，由各县（市、区）医保局（分局）指导属地医保经办机构根据《江门市基本医疗保险“双通道”试点定点零售药店遴选办法（试行）》（详见附件）有关规定，按照就近原则，公开遴选“双通道”试点定点零售药店（以下简称试点药店）。属地医保经办机构经资格审核、综合评审、现场核查、结果公示等程序确定试点药店并报同级医保行政部门备案抄送市医保局。试点药店在具备提供电子处方流转外购药品结算服务相关条件后，由属地医保经办机构签订服务协议并向社会公布。2022年9月底前，实现全市有1</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家试点药店提供电子处方流转外购药品结算服务（蓬江区</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家，其他县市、区均为2家），其中4月底前，实现蓬江区有2家试点药店提供省公布的291种“双通道”药品电子处方流转外购药品结算服务。</w:t>
      </w:r>
    </w:p>
    <w:p>
      <w:pPr>
        <w:keepNext w:val="0"/>
        <w:keepLines w:val="0"/>
        <w:pageBreakBefore w:val="0"/>
        <w:widowControl/>
        <w:numPr>
          <w:ilvl w:val="0"/>
          <w:numId w:val="1"/>
        </w:numPr>
        <w:shd w:val="clear"/>
        <w:kinsoku/>
        <w:overflowPunct/>
        <w:topLinePunct w:val="0"/>
        <w:autoSpaceDE/>
        <w:autoSpaceDN/>
        <w:bidi w:val="0"/>
        <w:adjustRightInd w:val="0"/>
        <w:snapToGrid w:val="0"/>
        <w:spacing w:line="60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落实“定医院、定药店、定医师、定药品、可追溯”的要求，2022年9月底前，实现全市至少有13家试点定点医疗机构（以下简称试点医院）提供电子处方流转外购药品结算服务。各县（市、区）医保局（分局）商卫生健康部门，根据我市“双通道”药品范围，结合属地医疗机构服务水平和业务发展，及时公布2家（蓬江</w:t>
      </w:r>
      <w:r>
        <w:rPr>
          <w:rFonts w:hint="eastAsia" w:ascii="仿宋_GB2312" w:hAnsi="仿宋_GB2312" w:eastAsia="仿宋_GB2312" w:cs="仿宋_GB2312"/>
          <w:sz w:val="32"/>
          <w:szCs w:val="32"/>
          <w:lang w:val="en-US" w:eastAsia="zh-CN"/>
        </w:rPr>
        <w:t>区</w:t>
      </w:r>
      <w:r>
        <w:rPr>
          <w:rFonts w:hint="eastAsia" w:ascii="仿宋_GB2312" w:hAnsi="仿宋_GB2312" w:eastAsia="仿宋_GB2312" w:cs="仿宋_GB2312"/>
          <w:sz w:val="32"/>
          <w:szCs w:val="32"/>
        </w:rPr>
        <w:t>、江海</w:t>
      </w:r>
      <w:r>
        <w:rPr>
          <w:rFonts w:hint="eastAsia" w:ascii="仿宋_GB2312" w:hAnsi="仿宋_GB2312" w:eastAsia="仿宋_GB2312" w:cs="仿宋_GB2312"/>
          <w:sz w:val="32"/>
          <w:szCs w:val="32"/>
          <w:lang w:val="en-US" w:eastAsia="zh-CN"/>
        </w:rPr>
        <w:t>区</w:t>
      </w:r>
      <w:r>
        <w:rPr>
          <w:rFonts w:hint="eastAsia" w:ascii="仿宋_GB2312" w:hAnsi="仿宋_GB2312" w:eastAsia="仿宋_GB2312" w:cs="仿宋_GB2312"/>
          <w:sz w:val="32"/>
          <w:szCs w:val="32"/>
        </w:rPr>
        <w:t>共3家）试点医院和相应专业外配处方医师名单（以下简称外配处方医师，其中蓬江区、江海区外配处方医师名单由市医保局蓬江分局商属地试点医院公布）。</w:t>
      </w:r>
    </w:p>
    <w:p>
      <w:pPr>
        <w:keepNext w:val="0"/>
        <w:keepLines w:val="0"/>
        <w:pageBreakBefore w:val="0"/>
        <w:widowControl/>
        <w:numPr>
          <w:ilvl w:val="255"/>
          <w:numId w:val="0"/>
        </w:numPr>
        <w:shd w:val="clear"/>
        <w:kinsoku/>
        <w:overflowPunct/>
        <w:topLinePunct w:val="0"/>
        <w:autoSpaceDE/>
        <w:autoSpaceDN/>
        <w:bidi w:val="0"/>
        <w:adjustRightInd w:val="0"/>
        <w:snapToGrid w:val="0"/>
        <w:spacing w:line="600" w:lineRule="exact"/>
        <w:ind w:left="0"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五、明确“双通道”外配处方流程</w:t>
      </w:r>
    </w:p>
    <w:p>
      <w:pPr>
        <w:keepNext w:val="0"/>
        <w:keepLines w:val="0"/>
        <w:pageBreakBefore w:val="0"/>
        <w:widowControl/>
        <w:numPr>
          <w:ilvl w:val="255"/>
          <w:numId w:val="0"/>
        </w:numPr>
        <w:shd w:val="clear"/>
        <w:kinsoku/>
        <w:overflowPunct/>
        <w:topLinePunct w:val="0"/>
        <w:autoSpaceDE/>
        <w:autoSpaceDN/>
        <w:bidi w:val="0"/>
        <w:adjustRightInd w:val="0"/>
        <w:snapToGrid w:val="0"/>
        <w:spacing w:line="60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县（市、区）督导属地试点医院外配处方医师为参保患者开具外配“双通道”药品处方，并确认参保患者是否符合开具药品的医保限定支付范围。“双通道”药品的外配处方应单独开具，并通过全省统一的处方流转中心流转。</w:t>
      </w:r>
    </w:p>
    <w:p>
      <w:pPr>
        <w:keepNext w:val="0"/>
        <w:keepLines w:val="0"/>
        <w:pageBreakBefore w:val="0"/>
        <w:widowControl/>
        <w:numPr>
          <w:ilvl w:val="255"/>
          <w:numId w:val="0"/>
        </w:numPr>
        <w:shd w:val="clear"/>
        <w:kinsoku/>
        <w:overflowPunct/>
        <w:topLinePunct w:val="0"/>
        <w:autoSpaceDE/>
        <w:autoSpaceDN/>
        <w:bidi w:val="0"/>
        <w:adjustRightInd w:val="0"/>
        <w:snapToGrid w:val="0"/>
        <w:spacing w:line="60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外配处方有效期内，参保患者可自主选择试点药店进行购药。各县（市、区）督导试点药店执业药师审核外配处方并核对参保患者信息后，打印医保结算单经参保患者或代办人签名确认后，开具专用收据、费用清单，并加盖收费专用章后供药。</w:t>
      </w:r>
    </w:p>
    <w:p>
      <w:pPr>
        <w:keepNext w:val="0"/>
        <w:keepLines w:val="0"/>
        <w:pageBreakBefore w:val="0"/>
        <w:widowControl/>
        <w:numPr>
          <w:ilvl w:val="255"/>
          <w:numId w:val="0"/>
        </w:numPr>
        <w:shd w:val="clear"/>
        <w:kinsoku/>
        <w:overflowPunct/>
        <w:topLinePunct w:val="0"/>
        <w:autoSpaceDE/>
        <w:autoSpaceDN/>
        <w:bidi w:val="0"/>
        <w:adjustRightInd w:val="0"/>
        <w:snapToGrid w:val="0"/>
        <w:spacing w:line="60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处方流转外购药品费用通过国家医疗保障信息平台，实现基本医疗保险、大病保险和医疗救助“一站式”结算。特殊情况下不能实时结算的费用，原则上由试点药店先行挂账处理，待问题解决后再予以结算，并向参保患者做好解释工作。</w:t>
      </w:r>
    </w:p>
    <w:p>
      <w:pPr>
        <w:keepNext w:val="0"/>
        <w:keepLines w:val="0"/>
        <w:pageBreakBefore w:val="0"/>
        <w:widowControl/>
        <w:numPr>
          <w:ilvl w:val="255"/>
          <w:numId w:val="0"/>
        </w:numPr>
        <w:shd w:val="clear"/>
        <w:kinsoku/>
        <w:overflowPunct/>
        <w:topLinePunct w:val="0"/>
        <w:autoSpaceDE/>
        <w:autoSpaceDN/>
        <w:bidi w:val="0"/>
        <w:adjustRightInd w:val="0"/>
        <w:snapToGrid w:val="0"/>
        <w:spacing w:line="600" w:lineRule="exact"/>
        <w:ind w:left="0"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六、加强“双通道”药品结算管理</w:t>
      </w:r>
    </w:p>
    <w:p>
      <w:pPr>
        <w:keepNext w:val="0"/>
        <w:keepLines w:val="0"/>
        <w:pageBreakBefore w:val="0"/>
        <w:shd w:val="clear"/>
        <w:kinsoku/>
        <w:overflowPunct/>
        <w:topLinePunct w:val="0"/>
        <w:autoSpaceDE/>
        <w:autoSpaceDN/>
        <w:bidi w:val="0"/>
        <w:adjustRightInd w:val="0"/>
        <w:snapToGrid w:val="0"/>
        <w:spacing w:line="600" w:lineRule="exact"/>
        <w:ind w:left="0"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按照国家、省的要求，“双通道”药品在试点医院和试点药店</w:t>
      </w:r>
      <w:bookmarkStart w:id="0" w:name="_GoBack"/>
      <w:r>
        <w:rPr>
          <w:rFonts w:hint="eastAsia" w:ascii="仿宋_GB2312" w:hAnsi="仿宋_GB2312" w:eastAsia="仿宋_GB2312" w:cs="仿宋_GB2312"/>
          <w:sz w:val="32"/>
          <w:szCs w:val="32"/>
          <w:u w:val="none"/>
        </w:rPr>
        <w:t>门诊特定病种执行统一的医</w:t>
      </w:r>
      <w:bookmarkEnd w:id="0"/>
      <w:r>
        <w:rPr>
          <w:rFonts w:hint="eastAsia" w:ascii="仿宋_GB2312" w:hAnsi="仿宋_GB2312" w:eastAsia="仿宋_GB2312" w:cs="仿宋_GB2312"/>
          <w:sz w:val="32"/>
          <w:szCs w:val="32"/>
        </w:rPr>
        <w:t>保支付标准、报销政策和价格政策。</w:t>
      </w:r>
      <w:r>
        <w:rPr>
          <w:rFonts w:hint="eastAsia" w:ascii="仿宋_GB2312" w:hAnsi="仿宋_GB2312" w:eastAsia="仿宋_GB2312" w:cs="仿宋_GB2312"/>
          <w:kern w:val="0"/>
          <w:sz w:val="32"/>
          <w:szCs w:val="32"/>
        </w:rPr>
        <w:t>责任保证金的计算和扣除办法参照定点医疗机构门诊特定病种责任保证金的有关规定，由属地医保经办机构与试点药店通过补充服务协议协商约定。试点医院和</w:t>
      </w:r>
      <w:r>
        <w:rPr>
          <w:rFonts w:hint="eastAsia" w:ascii="仿宋_GB2312" w:hAnsi="仿宋_GB2312" w:eastAsia="仿宋_GB2312" w:cs="仿宋_GB2312"/>
          <w:sz w:val="32"/>
          <w:szCs w:val="32"/>
        </w:rPr>
        <w:t>试点药店</w:t>
      </w:r>
      <w:r>
        <w:rPr>
          <w:rFonts w:hint="eastAsia" w:ascii="仿宋_GB2312" w:hAnsi="仿宋_GB2312" w:eastAsia="仿宋_GB2312" w:cs="仿宋_GB2312"/>
          <w:kern w:val="0"/>
          <w:sz w:val="32"/>
          <w:szCs w:val="32"/>
        </w:rPr>
        <w:t xml:space="preserve">的绩效考核办法和细则按照国家和省的统一部署执行，考核结果与责任保证金和资格管理相挂钩。 </w:t>
      </w:r>
    </w:p>
    <w:p>
      <w:pPr>
        <w:keepNext w:val="0"/>
        <w:keepLines w:val="0"/>
        <w:pageBreakBefore w:val="0"/>
        <w:widowControl/>
        <w:numPr>
          <w:ilvl w:val="255"/>
          <w:numId w:val="0"/>
        </w:numPr>
        <w:shd w:val="clear"/>
        <w:kinsoku/>
        <w:overflowPunct/>
        <w:topLinePunct w:val="0"/>
        <w:autoSpaceDE/>
        <w:autoSpaceDN/>
        <w:bidi w:val="0"/>
        <w:adjustRightInd w:val="0"/>
        <w:snapToGrid w:val="0"/>
        <w:spacing w:line="600" w:lineRule="exact"/>
        <w:ind w:left="0"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七、完善“双通道”试点协议管理</w:t>
      </w:r>
    </w:p>
    <w:p>
      <w:pPr>
        <w:keepNext w:val="0"/>
        <w:keepLines w:val="0"/>
        <w:pageBreakBefore w:val="0"/>
        <w:shd w:val="clear"/>
        <w:kinsoku/>
        <w:overflowPunct/>
        <w:topLinePunct w:val="0"/>
        <w:autoSpaceDE/>
        <w:autoSpaceDN/>
        <w:bidi w:val="0"/>
        <w:adjustRightInd w:val="0"/>
        <w:snapToGrid w:val="0"/>
        <w:spacing w:line="600" w:lineRule="exact"/>
        <w:ind w:left="0"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zh-CN"/>
        </w:rPr>
        <w:t>属地医保经办机构应与</w:t>
      </w:r>
      <w:r>
        <w:rPr>
          <w:rFonts w:hint="eastAsia" w:ascii="仿宋_GB2312" w:hAnsi="仿宋_GB2312" w:eastAsia="仿宋_GB2312" w:cs="仿宋_GB2312"/>
          <w:kern w:val="0"/>
          <w:sz w:val="32"/>
          <w:szCs w:val="32"/>
        </w:rPr>
        <w:t>试点医院和</w:t>
      </w:r>
      <w:r>
        <w:rPr>
          <w:rFonts w:hint="eastAsia" w:ascii="仿宋_GB2312" w:hAnsi="仿宋_GB2312" w:eastAsia="仿宋_GB2312" w:cs="仿宋_GB2312"/>
          <w:sz w:val="32"/>
          <w:szCs w:val="32"/>
        </w:rPr>
        <w:t>试点药店</w:t>
      </w:r>
      <w:r>
        <w:rPr>
          <w:rFonts w:hint="eastAsia" w:ascii="仿宋_GB2312" w:hAnsi="仿宋_GB2312" w:eastAsia="仿宋_GB2312" w:cs="仿宋_GB2312"/>
          <w:kern w:val="0"/>
          <w:sz w:val="32"/>
          <w:szCs w:val="32"/>
          <w:lang w:val="zh-CN"/>
        </w:rPr>
        <w:t>签订补充服务协议，确保</w:t>
      </w:r>
      <w:r>
        <w:rPr>
          <w:rFonts w:hint="eastAsia" w:ascii="仿宋_GB2312" w:hAnsi="仿宋_GB2312" w:eastAsia="仿宋_GB2312" w:cs="仿宋_GB2312"/>
          <w:kern w:val="0"/>
          <w:sz w:val="32"/>
          <w:szCs w:val="32"/>
        </w:rPr>
        <w:t>试点医院和</w:t>
      </w:r>
      <w:r>
        <w:rPr>
          <w:rFonts w:hint="eastAsia" w:ascii="仿宋_GB2312" w:hAnsi="仿宋_GB2312" w:eastAsia="仿宋_GB2312" w:cs="仿宋_GB2312"/>
          <w:sz w:val="32"/>
          <w:szCs w:val="32"/>
        </w:rPr>
        <w:t>试点药店</w:t>
      </w:r>
      <w:r>
        <w:rPr>
          <w:rFonts w:hint="eastAsia" w:ascii="仿宋_GB2312" w:hAnsi="仿宋_GB2312" w:eastAsia="仿宋_GB2312" w:cs="仿宋_GB2312"/>
          <w:kern w:val="0"/>
          <w:sz w:val="32"/>
          <w:szCs w:val="32"/>
          <w:lang w:val="zh-CN"/>
        </w:rPr>
        <w:t>按规定为参保患者提供外配处方服务，并配合医保行政部门、医保经办机构开展基金监管、协议管理有关工作。</w:t>
      </w:r>
      <w:r>
        <w:rPr>
          <w:rFonts w:hint="eastAsia" w:ascii="仿宋_GB2312" w:hAnsi="仿宋_GB2312" w:eastAsia="仿宋_GB2312" w:cs="仿宋_GB2312"/>
          <w:kern w:val="0"/>
          <w:sz w:val="32"/>
          <w:szCs w:val="32"/>
        </w:rPr>
        <w:t>补充服务协议应明确双方的权利和义务，包括服务人群、服务范围、服务内容、结算办法、医疗费用支付标准、违约责任、服务协议的中止或终止条件等内容，并约定以下责任：</w:t>
      </w:r>
    </w:p>
    <w:p>
      <w:pPr>
        <w:keepNext w:val="0"/>
        <w:keepLines w:val="0"/>
        <w:pageBreakBefore w:val="0"/>
        <w:numPr>
          <w:ilvl w:val="0"/>
          <w:numId w:val="2"/>
        </w:numPr>
        <w:shd w:val="clear"/>
        <w:kinsoku/>
        <w:overflowPunct/>
        <w:topLinePunct w:val="0"/>
        <w:autoSpaceDE/>
        <w:autoSpaceDN/>
        <w:bidi w:val="0"/>
        <w:adjustRightInd w:val="0"/>
        <w:snapToGrid w:val="0"/>
        <w:spacing w:line="600" w:lineRule="exact"/>
        <w:ind w:left="0" w:firstLine="643" w:firstLineChars="200"/>
        <w:jc w:val="both"/>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试点医院责任</w:t>
      </w:r>
    </w:p>
    <w:p>
      <w:pPr>
        <w:keepNext w:val="0"/>
        <w:keepLines w:val="0"/>
        <w:pageBreakBefore w:val="0"/>
        <w:shd w:val="clear"/>
        <w:kinsoku/>
        <w:overflowPunct/>
        <w:topLinePunct w:val="0"/>
        <w:autoSpaceDE/>
        <w:autoSpaceDN/>
        <w:bidi w:val="0"/>
        <w:adjustRightInd w:val="0"/>
        <w:snapToGrid w:val="0"/>
        <w:spacing w:line="600" w:lineRule="exact"/>
        <w:ind w:left="0"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试点医院应规范医生的诊疗行为，要求医生严格按照临床诊疗规范、《处方管理办法》和药品限定支付范围等相关规定，结合参保患者病情开具外配处方，不弄虚作假，不搭方开药，不得超过规定的适应症范围。</w:t>
      </w:r>
    </w:p>
    <w:p>
      <w:pPr>
        <w:keepNext w:val="0"/>
        <w:keepLines w:val="0"/>
        <w:pageBreakBefore w:val="0"/>
        <w:shd w:val="clear"/>
        <w:kinsoku/>
        <w:overflowPunct/>
        <w:topLinePunct w:val="0"/>
        <w:autoSpaceDE/>
        <w:autoSpaceDN/>
        <w:bidi w:val="0"/>
        <w:adjustRightInd w:val="0"/>
        <w:snapToGrid w:val="0"/>
        <w:spacing w:line="600" w:lineRule="exact"/>
        <w:ind w:left="0"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试点医院应严格按照国家和省的有关规定采购国家谈判药，确保临床用药，不得以外配处方为由减少临床必须药品的合理配备。外配药仅限于门诊范围，试点医院根据临床需要对患者住院治疗所需药品予以保障。外配处方医师对本院开出处方的真实性和合规性负责。参保患者使用“双通道”药品需提供注射等配套医疗服务的，由开具处方的试点医院构予以解决，试点医院不得以任何理由拒绝为参保患者提供配套医疗服务。</w:t>
      </w:r>
    </w:p>
    <w:p>
      <w:pPr>
        <w:keepNext w:val="0"/>
        <w:keepLines w:val="0"/>
        <w:pageBreakBefore w:val="0"/>
        <w:widowControl/>
        <w:shd w:val="clear"/>
        <w:kinsoku/>
        <w:overflowPunct/>
        <w:topLinePunct w:val="0"/>
        <w:autoSpaceDE/>
        <w:autoSpaceDN/>
        <w:bidi w:val="0"/>
        <w:adjustRightInd w:val="0"/>
        <w:snapToGrid w:val="0"/>
        <w:spacing w:line="60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3.试点医院应按照我市医保信息系统建设的要求，做好试点医院端信息系统外配处方的配套建设和运行维护，确保实现外配处方联网结算功能。</w:t>
      </w:r>
      <w:r>
        <w:rPr>
          <w:rFonts w:hint="eastAsia" w:ascii="仿宋_GB2312" w:hAnsi="仿宋_GB2312" w:eastAsia="仿宋_GB2312" w:cs="仿宋_GB2312"/>
          <w:sz w:val="32"/>
          <w:szCs w:val="32"/>
        </w:rPr>
        <w:t>鼓励试点医院和试点药店在保障基金和药品质量安全的前提下，提供“互联网+”药品流通服务，实现“网订店取”或“网订店送”，有特殊储存要求的药品除外。</w:t>
      </w:r>
    </w:p>
    <w:p>
      <w:pPr>
        <w:keepNext w:val="0"/>
        <w:keepLines w:val="0"/>
        <w:pageBreakBefore w:val="0"/>
        <w:widowControl/>
        <w:numPr>
          <w:ilvl w:val="255"/>
          <w:numId w:val="0"/>
        </w:numPr>
        <w:shd w:val="clear"/>
        <w:kinsoku/>
        <w:overflowPunct/>
        <w:topLinePunct w:val="0"/>
        <w:autoSpaceDE/>
        <w:autoSpaceDN/>
        <w:bidi w:val="0"/>
        <w:adjustRightInd w:val="0"/>
        <w:snapToGrid w:val="0"/>
        <w:spacing w:line="600" w:lineRule="exact"/>
        <w:ind w:left="0"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4.试点医院应根据医保部门的要求，及时、准确提供涉及外配处方的有关数据、信息和资料，做好相关医学诊断文书、治疗方案、外配处方等材料档案。</w:t>
      </w:r>
    </w:p>
    <w:p>
      <w:pPr>
        <w:keepNext w:val="0"/>
        <w:keepLines w:val="0"/>
        <w:pageBreakBefore w:val="0"/>
        <w:numPr>
          <w:ilvl w:val="0"/>
          <w:numId w:val="2"/>
        </w:numPr>
        <w:shd w:val="clear"/>
        <w:kinsoku/>
        <w:overflowPunct/>
        <w:topLinePunct w:val="0"/>
        <w:autoSpaceDE/>
        <w:autoSpaceDN/>
        <w:bidi w:val="0"/>
        <w:adjustRightInd w:val="0"/>
        <w:snapToGrid w:val="0"/>
        <w:spacing w:line="600" w:lineRule="exact"/>
        <w:ind w:left="0" w:firstLine="643" w:firstLineChars="200"/>
        <w:jc w:val="both"/>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sz w:val="32"/>
          <w:szCs w:val="32"/>
        </w:rPr>
        <w:t>试点药店</w:t>
      </w:r>
      <w:r>
        <w:rPr>
          <w:rFonts w:hint="eastAsia" w:ascii="仿宋_GB2312" w:hAnsi="仿宋_GB2312" w:eastAsia="仿宋_GB2312" w:cs="仿宋_GB2312"/>
          <w:b/>
          <w:bCs/>
          <w:kern w:val="0"/>
          <w:sz w:val="32"/>
          <w:szCs w:val="32"/>
        </w:rPr>
        <w:t>责任</w:t>
      </w:r>
    </w:p>
    <w:p>
      <w:pPr>
        <w:keepNext w:val="0"/>
        <w:keepLines w:val="0"/>
        <w:pageBreakBefore w:val="0"/>
        <w:widowControl/>
        <w:numPr>
          <w:ilvl w:val="255"/>
          <w:numId w:val="0"/>
        </w:numPr>
        <w:shd w:val="clear"/>
        <w:kinsoku/>
        <w:overflowPunct/>
        <w:topLinePunct w:val="0"/>
        <w:autoSpaceDE/>
        <w:autoSpaceDN/>
        <w:bidi w:val="0"/>
        <w:adjustRightInd w:val="0"/>
        <w:snapToGrid w:val="0"/>
        <w:spacing w:line="600" w:lineRule="exact"/>
        <w:ind w:left="0"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w:t>
      </w:r>
      <w:r>
        <w:rPr>
          <w:rFonts w:hint="eastAsia" w:ascii="仿宋_GB2312" w:hAnsi="仿宋_GB2312" w:eastAsia="仿宋_GB2312" w:cs="仿宋_GB2312"/>
          <w:sz w:val="32"/>
          <w:szCs w:val="32"/>
        </w:rPr>
        <w:t>试点药店</w:t>
      </w:r>
      <w:r>
        <w:rPr>
          <w:rFonts w:hint="eastAsia" w:ascii="仿宋_GB2312" w:hAnsi="仿宋_GB2312" w:eastAsia="仿宋_GB2312" w:cs="仿宋_GB2312"/>
          <w:kern w:val="0"/>
          <w:sz w:val="32"/>
          <w:szCs w:val="32"/>
        </w:rPr>
        <w:t>应严格遵守国家、省和市有关药品流通管理规定及医疗保险相关规定，做好国家谈判药品供药和医保结算服务。对于国家谈判药品的零售价，不得高于国家的谈判价。</w:t>
      </w:r>
    </w:p>
    <w:p>
      <w:pPr>
        <w:keepNext w:val="0"/>
        <w:keepLines w:val="0"/>
        <w:pageBreakBefore w:val="0"/>
        <w:widowControl/>
        <w:numPr>
          <w:ilvl w:val="255"/>
          <w:numId w:val="0"/>
        </w:numPr>
        <w:shd w:val="clear"/>
        <w:kinsoku/>
        <w:overflowPunct/>
        <w:topLinePunct w:val="0"/>
        <w:autoSpaceDE/>
        <w:autoSpaceDN/>
        <w:bidi w:val="0"/>
        <w:adjustRightInd w:val="0"/>
        <w:snapToGrid w:val="0"/>
        <w:spacing w:line="60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2.</w:t>
      </w:r>
      <w:r>
        <w:rPr>
          <w:rFonts w:hint="eastAsia" w:ascii="仿宋_GB2312" w:hAnsi="仿宋_GB2312" w:eastAsia="仿宋_GB2312" w:cs="仿宋_GB2312"/>
          <w:sz w:val="32"/>
          <w:szCs w:val="32"/>
        </w:rPr>
        <w:t>试点药店要与试点医院联合建立药品质量全程监管和追溯机制，落实存储、配送、使用等环节安全责任，确保药品质量安全。参保患者外购对存储、配送有特殊规定的“双通道”药品，试点药店应自行或委托具备相应资质和能力的药品经营企业免费配送至试点医院为参保患者使用，并做好药品交接登记。鼓励通过购买商业保险等市场化手段，建立药品质量风险防范和经济补偿机制。</w:t>
      </w:r>
    </w:p>
    <w:p>
      <w:pPr>
        <w:keepNext w:val="0"/>
        <w:keepLines w:val="0"/>
        <w:pageBreakBefore w:val="0"/>
        <w:shd w:val="clear"/>
        <w:kinsoku/>
        <w:overflowPunct/>
        <w:topLinePunct w:val="0"/>
        <w:autoSpaceDE/>
        <w:autoSpaceDN/>
        <w:bidi w:val="0"/>
        <w:adjustRightInd w:val="0"/>
        <w:snapToGrid w:val="0"/>
        <w:spacing w:line="600" w:lineRule="exact"/>
        <w:ind w:left="0"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w:t>
      </w:r>
      <w:r>
        <w:rPr>
          <w:rFonts w:hint="eastAsia" w:ascii="仿宋_GB2312" w:hAnsi="仿宋_GB2312" w:eastAsia="仿宋_GB2312" w:cs="仿宋_GB2312"/>
          <w:sz w:val="32"/>
          <w:szCs w:val="32"/>
        </w:rPr>
        <w:t>试点药店</w:t>
      </w:r>
      <w:r>
        <w:rPr>
          <w:rFonts w:hint="eastAsia" w:ascii="仿宋_GB2312" w:hAnsi="仿宋_GB2312" w:eastAsia="仿宋_GB2312" w:cs="仿宋_GB2312"/>
          <w:kern w:val="0"/>
          <w:sz w:val="32"/>
          <w:szCs w:val="32"/>
        </w:rPr>
        <w:t>要完善内部管理制度，建立外配处方管理、保密和投诉处理等制度；</w:t>
      </w:r>
      <w:r>
        <w:rPr>
          <w:rFonts w:hint="eastAsia" w:ascii="仿宋_GB2312" w:hAnsi="仿宋_GB2312" w:eastAsia="仿宋_GB2312" w:cs="仿宋_GB2312"/>
          <w:sz w:val="32"/>
          <w:szCs w:val="32"/>
        </w:rPr>
        <w:t>及时报送经营的“双通道”药品品种信息、上传全部药品</w:t>
      </w:r>
      <w:r>
        <w:rPr>
          <w:rFonts w:hint="eastAsia" w:ascii="仿宋_GB2312" w:hAnsi="仿宋_GB2312" w:eastAsia="仿宋_GB2312" w:cs="仿宋_GB2312"/>
          <w:sz w:val="32"/>
          <w:szCs w:val="32"/>
          <w:lang w:val="en-US" w:eastAsia="zh-CN"/>
        </w:rPr>
        <w:t>进</w:t>
      </w:r>
      <w:r>
        <w:rPr>
          <w:rFonts w:hint="eastAsia" w:ascii="仿宋_GB2312" w:hAnsi="仿宋_GB2312" w:eastAsia="仿宋_GB2312" w:cs="仿宋_GB2312"/>
          <w:sz w:val="32"/>
          <w:szCs w:val="32"/>
        </w:rPr>
        <w:t>、销、存数据至广东省医保信息平台和广东智慧药监平台、将患者在试点药店取药的相关信息回传至开具处方的试点医院；</w:t>
      </w:r>
      <w:r>
        <w:rPr>
          <w:rFonts w:hint="eastAsia" w:ascii="仿宋_GB2312" w:hAnsi="仿宋_GB2312" w:eastAsia="仿宋_GB2312" w:cs="仿宋_GB2312"/>
          <w:kern w:val="0"/>
          <w:sz w:val="32"/>
          <w:szCs w:val="32"/>
        </w:rPr>
        <w:t>执行执业药师处方审核制，指定执业药师审核参保患者的外配处方信息，如实按照试点医院开具的外配处方录入药品名称、剂型、剂量等，确保上传信息数据与处方内容一致，确保人证相符、所配药品与处方一致，严禁串换药品。发现处方不符合规定，应提示患者重新与处方医生确认，确保用药安全；严格凭外配处方销售“双通道”药品，为参保患者建立药品使用档案。</w:t>
      </w:r>
    </w:p>
    <w:p>
      <w:pPr>
        <w:keepNext w:val="0"/>
        <w:keepLines w:val="0"/>
        <w:pageBreakBefore w:val="0"/>
        <w:shd w:val="clear"/>
        <w:kinsoku/>
        <w:overflowPunct/>
        <w:topLinePunct w:val="0"/>
        <w:autoSpaceDE/>
        <w:autoSpaceDN/>
        <w:bidi w:val="0"/>
        <w:adjustRightInd w:val="0"/>
        <w:snapToGrid w:val="0"/>
        <w:spacing w:line="600" w:lineRule="exact"/>
        <w:ind w:left="0"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w:t>
      </w:r>
      <w:r>
        <w:rPr>
          <w:rFonts w:hint="eastAsia" w:ascii="仿宋_GB2312" w:hAnsi="仿宋_GB2312" w:eastAsia="仿宋_GB2312" w:cs="仿宋_GB2312"/>
          <w:sz w:val="32"/>
          <w:szCs w:val="32"/>
        </w:rPr>
        <w:t>试点药店</w:t>
      </w:r>
      <w:r>
        <w:rPr>
          <w:rFonts w:hint="eastAsia" w:ascii="仿宋_GB2312" w:hAnsi="仿宋_GB2312" w:eastAsia="仿宋_GB2312" w:cs="仿宋_GB2312"/>
          <w:kern w:val="0"/>
          <w:sz w:val="32"/>
          <w:szCs w:val="32"/>
        </w:rPr>
        <w:t>应按照我市医保信息系统建设的要求，做好试点药店端信息系统有关外配处方的配套建设和运行维护，确保实现外配处方联网结算功能。</w:t>
      </w:r>
    </w:p>
    <w:p>
      <w:pPr>
        <w:keepNext w:val="0"/>
        <w:keepLines w:val="0"/>
        <w:pageBreakBefore w:val="0"/>
        <w:shd w:val="clear"/>
        <w:kinsoku/>
        <w:overflowPunct/>
        <w:topLinePunct w:val="0"/>
        <w:autoSpaceDE/>
        <w:autoSpaceDN/>
        <w:bidi w:val="0"/>
        <w:adjustRightInd w:val="0"/>
        <w:snapToGrid w:val="0"/>
        <w:spacing w:line="600" w:lineRule="exact"/>
        <w:ind w:left="0"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w:t>
      </w:r>
      <w:r>
        <w:rPr>
          <w:rFonts w:hint="eastAsia" w:ascii="仿宋_GB2312" w:hAnsi="仿宋_GB2312" w:eastAsia="仿宋_GB2312" w:cs="仿宋_GB2312"/>
          <w:sz w:val="32"/>
          <w:szCs w:val="32"/>
        </w:rPr>
        <w:t>试点药店</w:t>
      </w:r>
      <w:r>
        <w:rPr>
          <w:rFonts w:hint="eastAsia" w:ascii="仿宋_GB2312" w:hAnsi="仿宋_GB2312" w:eastAsia="仿宋_GB2312" w:cs="仿宋_GB2312"/>
          <w:kern w:val="0"/>
          <w:sz w:val="32"/>
          <w:szCs w:val="32"/>
        </w:rPr>
        <w:t>应根据医保部门的要求，及时、准确提供涉及外配处方的有关数据、信息和资料。</w:t>
      </w:r>
    </w:p>
    <w:p>
      <w:pPr>
        <w:keepNext w:val="0"/>
        <w:keepLines w:val="0"/>
        <w:pageBreakBefore w:val="0"/>
        <w:widowControl/>
        <w:shd w:val="clear"/>
        <w:kinsoku/>
        <w:overflowPunct/>
        <w:topLinePunct w:val="0"/>
        <w:autoSpaceDE/>
        <w:autoSpaceDN/>
        <w:bidi w:val="0"/>
        <w:adjustRightInd w:val="0"/>
        <w:snapToGrid w:val="0"/>
        <w:spacing w:line="60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试点药店不能保持相关条件要求或被发现存在违法违规行为的，由属地医保经办机构按协议管理有关规定处理。</w:t>
      </w:r>
    </w:p>
    <w:p>
      <w:pPr>
        <w:keepNext w:val="0"/>
        <w:keepLines w:val="0"/>
        <w:pageBreakBefore w:val="0"/>
        <w:widowControl/>
        <w:numPr>
          <w:ilvl w:val="255"/>
          <w:numId w:val="0"/>
        </w:numPr>
        <w:shd w:val="clear"/>
        <w:kinsoku/>
        <w:overflowPunct/>
        <w:topLinePunct w:val="0"/>
        <w:autoSpaceDE/>
        <w:autoSpaceDN/>
        <w:bidi w:val="0"/>
        <w:adjustRightInd w:val="0"/>
        <w:snapToGrid w:val="0"/>
        <w:spacing w:line="600" w:lineRule="exact"/>
        <w:ind w:left="0" w:firstLine="640" w:firstLineChars="200"/>
        <w:jc w:val="both"/>
        <w:textAlignment w:val="auto"/>
        <w:rPr>
          <w:rFonts w:hint="eastAsia" w:ascii="仿宋_GB2312" w:hAnsi="仿宋_GB2312" w:eastAsia="仿宋_GB2312" w:cs="仿宋_GB2312"/>
          <w:sz w:val="32"/>
          <w:szCs w:val="32"/>
        </w:rPr>
      </w:pPr>
      <w:r>
        <w:rPr>
          <w:rFonts w:hint="eastAsia" w:ascii="黑体" w:hAnsi="黑体" w:eastAsia="黑体" w:cs="黑体"/>
          <w:sz w:val="32"/>
          <w:szCs w:val="32"/>
        </w:rPr>
        <w:t>八、强化“双通道”试点监管</w:t>
      </w:r>
    </w:p>
    <w:p>
      <w:pPr>
        <w:keepNext w:val="0"/>
        <w:keepLines w:val="0"/>
        <w:pageBreakBefore w:val="0"/>
        <w:shd w:val="clear"/>
        <w:kinsoku/>
        <w:overflowPunct/>
        <w:topLinePunct w:val="0"/>
        <w:autoSpaceDE/>
        <w:autoSpaceDN/>
        <w:bidi w:val="0"/>
        <w:adjustRightInd w:val="0"/>
        <w:snapToGrid w:val="0"/>
        <w:spacing w:line="600" w:lineRule="exact"/>
        <w:ind w:left="0"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各县（市、区）应建立长效监管机制，完善细化医保用药审核规则，推进医保信息化建设，强化“大数据”智能监控，落实定机构、定医师、可追溯等要求，通过日常检查、专项检查、后台核查、现场检查等多种方式，加大对试点药店监督检查和评估考核力度，实现用药行为全过程监管，保障参保人正常享受待遇。严厉打击“双通道”领域骗取医保基金的行为，强化试点医院处方管理，规范试点药店进、销、存行为，促进定点医药机构增强费用控制意识，严格遵守基金使用相关规定，确保医保基金有效使用、安全运行。</w:t>
      </w:r>
    </w:p>
    <w:p>
      <w:pPr>
        <w:keepNext w:val="0"/>
        <w:keepLines w:val="0"/>
        <w:pageBreakBefore w:val="0"/>
        <w:widowControl/>
        <w:numPr>
          <w:ilvl w:val="255"/>
          <w:numId w:val="0"/>
        </w:numPr>
        <w:shd w:val="clear"/>
        <w:kinsoku/>
        <w:overflowPunct/>
        <w:topLinePunct w:val="0"/>
        <w:autoSpaceDE/>
        <w:autoSpaceDN/>
        <w:bidi w:val="0"/>
        <w:adjustRightInd w:val="0"/>
        <w:snapToGrid w:val="0"/>
        <w:spacing w:line="600" w:lineRule="exact"/>
        <w:ind w:left="0" w:firstLine="640" w:firstLineChars="200"/>
        <w:jc w:val="both"/>
        <w:textAlignment w:val="auto"/>
        <w:rPr>
          <w:rFonts w:hint="eastAsia" w:ascii="黑体" w:hAnsi="黑体" w:eastAsia="黑体" w:cs="黑体"/>
          <w:bCs/>
          <w:kern w:val="0"/>
          <w:sz w:val="32"/>
          <w:szCs w:val="32"/>
        </w:rPr>
      </w:pPr>
      <w:r>
        <w:rPr>
          <w:rFonts w:hint="eastAsia" w:ascii="黑体" w:hAnsi="黑体" w:eastAsia="黑体" w:cs="黑体"/>
          <w:bCs/>
          <w:kern w:val="0"/>
          <w:sz w:val="32"/>
          <w:szCs w:val="32"/>
        </w:rPr>
        <w:t>九、细化</w:t>
      </w:r>
      <w:r>
        <w:rPr>
          <w:rFonts w:hint="eastAsia" w:ascii="黑体" w:hAnsi="黑体" w:eastAsia="黑体" w:cs="黑体"/>
          <w:sz w:val="32"/>
          <w:szCs w:val="32"/>
        </w:rPr>
        <w:t>“双通道”</w:t>
      </w:r>
      <w:r>
        <w:rPr>
          <w:rFonts w:hint="eastAsia" w:ascii="黑体" w:hAnsi="黑体" w:eastAsia="黑体" w:cs="黑体"/>
          <w:bCs/>
          <w:kern w:val="0"/>
          <w:sz w:val="32"/>
          <w:szCs w:val="32"/>
        </w:rPr>
        <w:t>部门职责</w:t>
      </w:r>
    </w:p>
    <w:p>
      <w:pPr>
        <w:keepNext w:val="0"/>
        <w:keepLines w:val="0"/>
        <w:pageBreakBefore w:val="0"/>
        <w:widowControl/>
        <w:shd w:val="clear"/>
        <w:kinsoku/>
        <w:overflowPunct/>
        <w:topLinePunct w:val="0"/>
        <w:autoSpaceDE/>
        <w:autoSpaceDN/>
        <w:bidi w:val="0"/>
        <w:adjustRightInd w:val="0"/>
        <w:snapToGrid w:val="0"/>
        <w:spacing w:line="60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要按照加强管理、保障供应、规范使用、严格监管的原则，做好“双通道”试点期间的数据监测、统计和分析，优化“双通道”经办服务，做好相关业务指引,督导属地相关定点医药机构按照“双通道”试点工作要求做好信息系统配套建设，及时将谈判药品“双通道”供应保障情况纳入定点医药机构协议管理范围，与医保基金支付挂钩。各级卫生健康部门督促定点医疗机构按功能定位和临床需求及时配备“双通道”药品，指导定点医疗机构将“双通道”药品纳入本医疗机构用药供应目录，将合理使用的谈判药品单列，不纳入医疗机构药占比、门诊次均药品费用增幅、住院次均药品费用增幅等影响其落地的绩效考核指标范围。各级市场监管部门要加强药品质量监管，督促药品经营企业落实存储、配送、使用等环节安全责任，确保“双通道”药品质量安全。各县（市、区）医保局（分局）要加强政策宣传解读，合理引导社会预期，营造良好的舆论氛围；积极开展政策落地情况评估，做好应急预案，妥善处理政策执行过程中出现的问题，确保“双通道”惠民政策平稳推进，落地见效。</w:t>
      </w:r>
      <w:r>
        <w:rPr>
          <w:rFonts w:hint="eastAsia" w:ascii="仿宋_GB2312" w:hAnsi="仿宋_GB2312" w:eastAsia="仿宋_GB2312" w:cs="仿宋_GB2312"/>
          <w:sz w:val="32"/>
          <w:szCs w:val="32"/>
          <w:u w:val="none"/>
        </w:rPr>
        <w:t>此前</w:t>
      </w:r>
      <w:r>
        <w:rPr>
          <w:rFonts w:hint="eastAsia" w:ascii="仿宋_GB2312" w:hAnsi="仿宋_GB2312" w:eastAsia="仿宋_GB2312" w:cs="仿宋_GB2312"/>
          <w:sz w:val="32"/>
          <w:szCs w:val="32"/>
        </w:rPr>
        <w:t>有关规定与本方案不一致的，均按本方案规定执行。</w:t>
      </w:r>
    </w:p>
    <w:p>
      <w:pPr>
        <w:keepNext w:val="0"/>
        <w:keepLines w:val="0"/>
        <w:pageBreakBefore w:val="0"/>
        <w:widowControl/>
        <w:shd w:val="clear"/>
        <w:kinsoku/>
        <w:overflowPunct/>
        <w:topLinePunct w:val="0"/>
        <w:autoSpaceDE/>
        <w:autoSpaceDN/>
        <w:bidi w:val="0"/>
        <w:adjustRightInd w:val="0"/>
        <w:snapToGrid w:val="0"/>
        <w:spacing w:line="600" w:lineRule="exact"/>
        <w:ind w:left="0" w:firstLine="640" w:firstLineChars="200"/>
        <w:jc w:val="both"/>
        <w:textAlignment w:val="auto"/>
        <w:rPr>
          <w:rFonts w:hint="eastAsia" w:ascii="仿宋_GB2312" w:hAnsi="仿宋_GB2312" w:eastAsia="仿宋_GB2312" w:cs="仿宋_GB2312"/>
          <w:sz w:val="32"/>
          <w:szCs w:val="32"/>
        </w:rPr>
      </w:pPr>
    </w:p>
    <w:p>
      <w:pPr>
        <w:keepNext w:val="0"/>
        <w:keepLines w:val="0"/>
        <w:pageBreakBefore w:val="0"/>
        <w:widowControl/>
        <w:numPr>
          <w:ilvl w:val="255"/>
          <w:numId w:val="0"/>
        </w:numPr>
        <w:shd w:val="clear"/>
        <w:kinsoku/>
        <w:overflowPunct/>
        <w:topLinePunct w:val="0"/>
        <w:autoSpaceDE/>
        <w:autoSpaceDN/>
        <w:bidi w:val="0"/>
        <w:adjustRightInd w:val="0"/>
        <w:snapToGrid w:val="0"/>
        <w:spacing w:line="60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附件：江门市基本医疗保险“双通道”试点定点零售药店遴选办法（试行）</w:t>
      </w:r>
    </w:p>
    <w:p>
      <w:pPr>
        <w:shd w:val="clear"/>
        <w:spacing w:line="600" w:lineRule="exact"/>
        <w:rPr>
          <w:rFonts w:ascii="仿宋" w:hAnsi="仿宋" w:eastAsia="仿宋" w:cs="仿宋"/>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6"/>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6ECB49C"/>
    <w:multiLevelType w:val="singleLevel"/>
    <w:tmpl w:val="E6ECB49C"/>
    <w:lvl w:ilvl="0" w:tentative="0">
      <w:start w:val="2"/>
      <w:numFmt w:val="chineseCounting"/>
      <w:suff w:val="nothing"/>
      <w:lvlText w:val="（%1）"/>
      <w:lvlJc w:val="left"/>
      <w:rPr>
        <w:rFonts w:hint="eastAsia"/>
      </w:rPr>
    </w:lvl>
  </w:abstractNum>
  <w:abstractNum w:abstractNumId="1">
    <w:nsid w:val="3AA46ED3"/>
    <w:multiLevelType w:val="singleLevel"/>
    <w:tmpl w:val="3AA46ED3"/>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F00"/>
    <w:rsid w:val="00035BD3"/>
    <w:rsid w:val="0008411A"/>
    <w:rsid w:val="000A34C2"/>
    <w:rsid w:val="001078A7"/>
    <w:rsid w:val="00167680"/>
    <w:rsid w:val="00184C10"/>
    <w:rsid w:val="001E5805"/>
    <w:rsid w:val="0033140B"/>
    <w:rsid w:val="0035571F"/>
    <w:rsid w:val="003B5E1B"/>
    <w:rsid w:val="00410452"/>
    <w:rsid w:val="004C574E"/>
    <w:rsid w:val="004C672E"/>
    <w:rsid w:val="004D4BF2"/>
    <w:rsid w:val="0058549B"/>
    <w:rsid w:val="00616AA6"/>
    <w:rsid w:val="00662885"/>
    <w:rsid w:val="00695EFA"/>
    <w:rsid w:val="006F4F00"/>
    <w:rsid w:val="007D721B"/>
    <w:rsid w:val="00803FA4"/>
    <w:rsid w:val="008135D0"/>
    <w:rsid w:val="0087654B"/>
    <w:rsid w:val="00880D3E"/>
    <w:rsid w:val="008C586D"/>
    <w:rsid w:val="008D750E"/>
    <w:rsid w:val="00953AA7"/>
    <w:rsid w:val="009E194E"/>
    <w:rsid w:val="00A0694E"/>
    <w:rsid w:val="00B4726F"/>
    <w:rsid w:val="00B60150"/>
    <w:rsid w:val="00CC2EA5"/>
    <w:rsid w:val="00E07DC8"/>
    <w:rsid w:val="00F4203C"/>
    <w:rsid w:val="00FD1A41"/>
    <w:rsid w:val="010E2A80"/>
    <w:rsid w:val="015D7F94"/>
    <w:rsid w:val="017857A6"/>
    <w:rsid w:val="01F2323E"/>
    <w:rsid w:val="020F60FE"/>
    <w:rsid w:val="022D05B7"/>
    <w:rsid w:val="026054F1"/>
    <w:rsid w:val="03464DE4"/>
    <w:rsid w:val="03546836"/>
    <w:rsid w:val="038C0C0C"/>
    <w:rsid w:val="04615A51"/>
    <w:rsid w:val="04A7721A"/>
    <w:rsid w:val="04D8698B"/>
    <w:rsid w:val="051D41A8"/>
    <w:rsid w:val="0524039F"/>
    <w:rsid w:val="05D51FB4"/>
    <w:rsid w:val="06CD7E89"/>
    <w:rsid w:val="076F36F9"/>
    <w:rsid w:val="07C93A2B"/>
    <w:rsid w:val="0819794B"/>
    <w:rsid w:val="083D1344"/>
    <w:rsid w:val="09630EFE"/>
    <w:rsid w:val="0A6B79C4"/>
    <w:rsid w:val="0BDF0DB1"/>
    <w:rsid w:val="0BE555E7"/>
    <w:rsid w:val="0C6E2CD0"/>
    <w:rsid w:val="0D270BD9"/>
    <w:rsid w:val="0ECB2B4D"/>
    <w:rsid w:val="0EF35172"/>
    <w:rsid w:val="105235C4"/>
    <w:rsid w:val="10AF3451"/>
    <w:rsid w:val="10B53CB9"/>
    <w:rsid w:val="11A423FC"/>
    <w:rsid w:val="129937F3"/>
    <w:rsid w:val="13101226"/>
    <w:rsid w:val="134E21E0"/>
    <w:rsid w:val="15035454"/>
    <w:rsid w:val="156A1AA9"/>
    <w:rsid w:val="163E6257"/>
    <w:rsid w:val="16B15544"/>
    <w:rsid w:val="17886BFB"/>
    <w:rsid w:val="187929E1"/>
    <w:rsid w:val="187E1BEC"/>
    <w:rsid w:val="18C77469"/>
    <w:rsid w:val="18E6475E"/>
    <w:rsid w:val="19217E6C"/>
    <w:rsid w:val="19763144"/>
    <w:rsid w:val="198A3ECE"/>
    <w:rsid w:val="19A53C55"/>
    <w:rsid w:val="19E30CD8"/>
    <w:rsid w:val="19F67757"/>
    <w:rsid w:val="1A092C8A"/>
    <w:rsid w:val="1A4D3BD0"/>
    <w:rsid w:val="1AAF7C74"/>
    <w:rsid w:val="1AC446A7"/>
    <w:rsid w:val="1B4665B3"/>
    <w:rsid w:val="1B7D3B88"/>
    <w:rsid w:val="1BBD2533"/>
    <w:rsid w:val="1C8B7FBE"/>
    <w:rsid w:val="1C914610"/>
    <w:rsid w:val="1C9F0035"/>
    <w:rsid w:val="1CAC60E7"/>
    <w:rsid w:val="1D933CD0"/>
    <w:rsid w:val="1DF910D4"/>
    <w:rsid w:val="1E7E52E9"/>
    <w:rsid w:val="1F033DEA"/>
    <w:rsid w:val="1F0850A0"/>
    <w:rsid w:val="1FA44C7C"/>
    <w:rsid w:val="2006702C"/>
    <w:rsid w:val="20362B8C"/>
    <w:rsid w:val="20365BE4"/>
    <w:rsid w:val="20856485"/>
    <w:rsid w:val="20DF2D2F"/>
    <w:rsid w:val="20F025DD"/>
    <w:rsid w:val="227624D2"/>
    <w:rsid w:val="234B3E8F"/>
    <w:rsid w:val="234C7C3F"/>
    <w:rsid w:val="234F6AFE"/>
    <w:rsid w:val="23895FFF"/>
    <w:rsid w:val="24C36154"/>
    <w:rsid w:val="25126A1B"/>
    <w:rsid w:val="25271CFF"/>
    <w:rsid w:val="25E14108"/>
    <w:rsid w:val="26302BEB"/>
    <w:rsid w:val="26B35FE2"/>
    <w:rsid w:val="26C8443A"/>
    <w:rsid w:val="26F5720F"/>
    <w:rsid w:val="27382C60"/>
    <w:rsid w:val="28C8160F"/>
    <w:rsid w:val="29276FAD"/>
    <w:rsid w:val="2A4B36E7"/>
    <w:rsid w:val="2B0163CF"/>
    <w:rsid w:val="2B732321"/>
    <w:rsid w:val="2B8B19DC"/>
    <w:rsid w:val="2BCF1A7A"/>
    <w:rsid w:val="2C48681C"/>
    <w:rsid w:val="2CAB3D23"/>
    <w:rsid w:val="2CDA474B"/>
    <w:rsid w:val="2D644E95"/>
    <w:rsid w:val="2DA602B6"/>
    <w:rsid w:val="2E442BF0"/>
    <w:rsid w:val="2E8D69E1"/>
    <w:rsid w:val="2EB24669"/>
    <w:rsid w:val="2EC25FD5"/>
    <w:rsid w:val="2ED9124E"/>
    <w:rsid w:val="2EDC043D"/>
    <w:rsid w:val="2F161C26"/>
    <w:rsid w:val="2F9955BF"/>
    <w:rsid w:val="2FA02674"/>
    <w:rsid w:val="2FBC11C8"/>
    <w:rsid w:val="2FD06810"/>
    <w:rsid w:val="302432D6"/>
    <w:rsid w:val="308C55E3"/>
    <w:rsid w:val="30A917D8"/>
    <w:rsid w:val="30D6243D"/>
    <w:rsid w:val="31786137"/>
    <w:rsid w:val="31FA5A70"/>
    <w:rsid w:val="327D3229"/>
    <w:rsid w:val="32BC79E2"/>
    <w:rsid w:val="32BD063F"/>
    <w:rsid w:val="335802E3"/>
    <w:rsid w:val="3367031E"/>
    <w:rsid w:val="337C1065"/>
    <w:rsid w:val="33E85A07"/>
    <w:rsid w:val="34537F91"/>
    <w:rsid w:val="34AC4DA3"/>
    <w:rsid w:val="352B4793"/>
    <w:rsid w:val="35C93201"/>
    <w:rsid w:val="35CE2885"/>
    <w:rsid w:val="36AC54B4"/>
    <w:rsid w:val="36AD469C"/>
    <w:rsid w:val="36C4681E"/>
    <w:rsid w:val="3752469B"/>
    <w:rsid w:val="375C2D09"/>
    <w:rsid w:val="37762EBD"/>
    <w:rsid w:val="378B2A9F"/>
    <w:rsid w:val="37F61B16"/>
    <w:rsid w:val="38443A1E"/>
    <w:rsid w:val="384F0C84"/>
    <w:rsid w:val="38766A33"/>
    <w:rsid w:val="38D747EB"/>
    <w:rsid w:val="38F7244E"/>
    <w:rsid w:val="39AC7A96"/>
    <w:rsid w:val="3A4E3C74"/>
    <w:rsid w:val="3A5F3914"/>
    <w:rsid w:val="3A9105BE"/>
    <w:rsid w:val="3B4237BC"/>
    <w:rsid w:val="3B4E77F4"/>
    <w:rsid w:val="3C0A2081"/>
    <w:rsid w:val="3CCF1F8C"/>
    <w:rsid w:val="3CD55836"/>
    <w:rsid w:val="3D340D3F"/>
    <w:rsid w:val="3D3700C4"/>
    <w:rsid w:val="3DB06A1B"/>
    <w:rsid w:val="3DD23B0C"/>
    <w:rsid w:val="3DF33551"/>
    <w:rsid w:val="3E1771CD"/>
    <w:rsid w:val="3E3566F7"/>
    <w:rsid w:val="3EB30666"/>
    <w:rsid w:val="3F13754F"/>
    <w:rsid w:val="40283435"/>
    <w:rsid w:val="407F0179"/>
    <w:rsid w:val="40A5362C"/>
    <w:rsid w:val="40D14FEA"/>
    <w:rsid w:val="40FF3681"/>
    <w:rsid w:val="410976E1"/>
    <w:rsid w:val="41125E14"/>
    <w:rsid w:val="41494A00"/>
    <w:rsid w:val="42166532"/>
    <w:rsid w:val="42405BA8"/>
    <w:rsid w:val="429641E0"/>
    <w:rsid w:val="43564404"/>
    <w:rsid w:val="437E555A"/>
    <w:rsid w:val="43C442F7"/>
    <w:rsid w:val="46413299"/>
    <w:rsid w:val="46715B88"/>
    <w:rsid w:val="46E06E4E"/>
    <w:rsid w:val="46F81E09"/>
    <w:rsid w:val="47BE35D7"/>
    <w:rsid w:val="47CC02E1"/>
    <w:rsid w:val="48423D48"/>
    <w:rsid w:val="489A5A54"/>
    <w:rsid w:val="48B84EBB"/>
    <w:rsid w:val="493139AB"/>
    <w:rsid w:val="4AF14191"/>
    <w:rsid w:val="4AFB5533"/>
    <w:rsid w:val="4B390B98"/>
    <w:rsid w:val="4BB74C84"/>
    <w:rsid w:val="4BE50FBB"/>
    <w:rsid w:val="4C5F2CB9"/>
    <w:rsid w:val="4C761800"/>
    <w:rsid w:val="4CBA7003"/>
    <w:rsid w:val="4CC65247"/>
    <w:rsid w:val="4D16485E"/>
    <w:rsid w:val="4DBF4063"/>
    <w:rsid w:val="4E272142"/>
    <w:rsid w:val="4EAD0CD5"/>
    <w:rsid w:val="4EF4027F"/>
    <w:rsid w:val="4F9B2D37"/>
    <w:rsid w:val="50002D77"/>
    <w:rsid w:val="50283215"/>
    <w:rsid w:val="504509EB"/>
    <w:rsid w:val="504F3EB3"/>
    <w:rsid w:val="51022C73"/>
    <w:rsid w:val="51205681"/>
    <w:rsid w:val="514148C7"/>
    <w:rsid w:val="51B318F7"/>
    <w:rsid w:val="51F12AE7"/>
    <w:rsid w:val="521A15B9"/>
    <w:rsid w:val="525A56C7"/>
    <w:rsid w:val="525B3679"/>
    <w:rsid w:val="52CC7B96"/>
    <w:rsid w:val="53E96DA0"/>
    <w:rsid w:val="55385B6F"/>
    <w:rsid w:val="555259D5"/>
    <w:rsid w:val="559A6573"/>
    <w:rsid w:val="55E94C2F"/>
    <w:rsid w:val="567D66B5"/>
    <w:rsid w:val="56852119"/>
    <w:rsid w:val="57383AAC"/>
    <w:rsid w:val="57D5259C"/>
    <w:rsid w:val="57D83606"/>
    <w:rsid w:val="594977DA"/>
    <w:rsid w:val="598E7B93"/>
    <w:rsid w:val="59B70BC4"/>
    <w:rsid w:val="59C95302"/>
    <w:rsid w:val="59EA330C"/>
    <w:rsid w:val="5A83025A"/>
    <w:rsid w:val="5ABE1B0F"/>
    <w:rsid w:val="5AEB5B4B"/>
    <w:rsid w:val="5BA21AAD"/>
    <w:rsid w:val="5C965999"/>
    <w:rsid w:val="5CF44E31"/>
    <w:rsid w:val="5D211BEB"/>
    <w:rsid w:val="5D6E7102"/>
    <w:rsid w:val="5E31412F"/>
    <w:rsid w:val="5F0D1DB1"/>
    <w:rsid w:val="605B5255"/>
    <w:rsid w:val="60A34919"/>
    <w:rsid w:val="60A35007"/>
    <w:rsid w:val="60CB1DFF"/>
    <w:rsid w:val="60FD47DB"/>
    <w:rsid w:val="61174968"/>
    <w:rsid w:val="6127140E"/>
    <w:rsid w:val="61664F1F"/>
    <w:rsid w:val="61D07CCD"/>
    <w:rsid w:val="626A2EFE"/>
    <w:rsid w:val="62737F7F"/>
    <w:rsid w:val="627D7DD0"/>
    <w:rsid w:val="630A7701"/>
    <w:rsid w:val="637D7E87"/>
    <w:rsid w:val="6405241D"/>
    <w:rsid w:val="6450404C"/>
    <w:rsid w:val="64C62853"/>
    <w:rsid w:val="65846DA0"/>
    <w:rsid w:val="66A24803"/>
    <w:rsid w:val="66DC0B75"/>
    <w:rsid w:val="67130F0B"/>
    <w:rsid w:val="67210750"/>
    <w:rsid w:val="673B7BB7"/>
    <w:rsid w:val="68003FBB"/>
    <w:rsid w:val="69430C4A"/>
    <w:rsid w:val="6A2324A3"/>
    <w:rsid w:val="6A513E03"/>
    <w:rsid w:val="6A65565D"/>
    <w:rsid w:val="6AF07675"/>
    <w:rsid w:val="6B070D13"/>
    <w:rsid w:val="6B71007D"/>
    <w:rsid w:val="6B832AAC"/>
    <w:rsid w:val="6BFA51C7"/>
    <w:rsid w:val="6D1A7D78"/>
    <w:rsid w:val="6DDA1E4C"/>
    <w:rsid w:val="6E2D199A"/>
    <w:rsid w:val="6E651F25"/>
    <w:rsid w:val="6EC5048B"/>
    <w:rsid w:val="6FCA5E12"/>
    <w:rsid w:val="704160DB"/>
    <w:rsid w:val="70B73C2E"/>
    <w:rsid w:val="71135F51"/>
    <w:rsid w:val="714E35E4"/>
    <w:rsid w:val="72C723C8"/>
    <w:rsid w:val="73D4410F"/>
    <w:rsid w:val="742412B3"/>
    <w:rsid w:val="7425333B"/>
    <w:rsid w:val="7539608B"/>
    <w:rsid w:val="7554151D"/>
    <w:rsid w:val="75842C75"/>
    <w:rsid w:val="75CE48EC"/>
    <w:rsid w:val="75D33D96"/>
    <w:rsid w:val="76184046"/>
    <w:rsid w:val="76F372B1"/>
    <w:rsid w:val="77A82CB8"/>
    <w:rsid w:val="77FE58E1"/>
    <w:rsid w:val="789C34E4"/>
    <w:rsid w:val="78F51BE9"/>
    <w:rsid w:val="7959456A"/>
    <w:rsid w:val="798A5333"/>
    <w:rsid w:val="79B235E3"/>
    <w:rsid w:val="79D035B8"/>
    <w:rsid w:val="7A3917BB"/>
    <w:rsid w:val="7A93293A"/>
    <w:rsid w:val="7ADA3778"/>
    <w:rsid w:val="7B4C3F99"/>
    <w:rsid w:val="7B4D3F3E"/>
    <w:rsid w:val="7B906E35"/>
    <w:rsid w:val="7BAD36B2"/>
    <w:rsid w:val="7BE40281"/>
    <w:rsid w:val="7BF21BB9"/>
    <w:rsid w:val="7CB8321F"/>
    <w:rsid w:val="7CEE1055"/>
    <w:rsid w:val="7DBB5807"/>
    <w:rsid w:val="7F507483"/>
    <w:rsid w:val="7FD90C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paragraph" w:styleId="2">
    <w:name w:val="heading 3"/>
    <w:basedOn w:val="1"/>
    <w:next w:val="1"/>
    <w:qFormat/>
    <w:uiPriority w:val="9"/>
    <w:pPr>
      <w:keepNext/>
      <w:keepLines/>
      <w:spacing w:before="260" w:after="260" w:line="416" w:lineRule="auto"/>
      <w:outlineLvl w:val="2"/>
    </w:pPr>
    <w:rPr>
      <w:b/>
      <w:bCs/>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4">
    <w:name w:val="Plain Text"/>
    <w:basedOn w:val="1"/>
    <w:unhideWhenUsed/>
    <w:qFormat/>
    <w:uiPriority w:val="0"/>
    <w:rPr>
      <w:rFonts w:ascii="宋体" w:hAnsi="Courier New" w:cs="Courier New"/>
      <w:szCs w:val="21"/>
    </w:rPr>
  </w:style>
  <w:style w:type="paragraph" w:styleId="5">
    <w:name w:val="Balloon Text"/>
    <w:basedOn w:val="1"/>
    <w:link w:val="12"/>
    <w:qFormat/>
    <w:uiPriority w:val="0"/>
    <w:rPr>
      <w:sz w:val="18"/>
      <w:szCs w:val="18"/>
    </w:rPr>
  </w:style>
  <w:style w:type="paragraph" w:styleId="6">
    <w:name w:val="footer"/>
    <w:basedOn w:val="1"/>
    <w:unhideWhenUsed/>
    <w:qFormat/>
    <w:uiPriority w:val="0"/>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rFonts w:cs="Times New Roman"/>
      <w:kern w:val="0"/>
      <w:sz w:val="24"/>
    </w:rPr>
  </w:style>
  <w:style w:type="character" w:styleId="11">
    <w:name w:val="Strong"/>
    <w:basedOn w:val="10"/>
    <w:qFormat/>
    <w:uiPriority w:val="0"/>
    <w:rPr>
      <w:b/>
    </w:rPr>
  </w:style>
  <w:style w:type="character" w:customStyle="1" w:styleId="12">
    <w:name w:val="批注框文本 Char"/>
    <w:basedOn w:val="10"/>
    <w:link w:val="5"/>
    <w:qFormat/>
    <w:uiPriority w:val="0"/>
    <w:rPr>
      <w:rFonts w:asciiTheme="minorHAnsi" w:hAnsiTheme="minorHAnsi" w:eastAsiaTheme="minorEastAsia" w:cstheme="minorBidi"/>
      <w:kern w:val="2"/>
      <w:sz w:val="18"/>
      <w:szCs w:val="18"/>
    </w:rPr>
  </w:style>
  <w:style w:type="character" w:customStyle="1" w:styleId="13">
    <w:name w:val="页眉 Char"/>
    <w:basedOn w:val="10"/>
    <w:link w:val="7"/>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gz</Company>
  <Pages>1</Pages>
  <Words>621</Words>
  <Characters>3543</Characters>
  <Lines>29</Lines>
  <Paragraphs>8</Paragraphs>
  <TotalTime>9</TotalTime>
  <ScaleCrop>false</ScaleCrop>
  <LinksUpToDate>false</LinksUpToDate>
  <CharactersWithSpaces>4156</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2022-03-04T01:46:00Z</dcterms:created>
  <dc:creator>Administrator</dc:creator>
  <cp:lastModifiedBy>拂晓</cp:lastModifiedBy>
  <dcterms:modified xsi:type="dcterms:W3CDTF">2022-03-30T06:28:29Z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67848D0BFF614DA4933A23AD4037D498</vt:lpwstr>
  </property>
</Properties>
</file>