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689" w:after="501"/>
        <w:jc w:val="center"/>
        <w:outlineLvl w:val="0"/>
        <w:rPr>
          <w:rFonts w:ascii="微软雅黑" w:hAnsi="微软雅黑" w:eastAsia="微软雅黑" w:cs="宋体"/>
          <w:b/>
          <w:bCs/>
          <w:color w:val="000000"/>
          <w:kern w:val="36"/>
          <w:sz w:val="48"/>
          <w:szCs w:val="48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8"/>
          <w:szCs w:val="48"/>
        </w:rPr>
        <w:t>202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8"/>
          <w:szCs w:val="48"/>
          <w:lang w:val="en-US" w:eastAsia="zh-CN"/>
        </w:rPr>
        <w:t>2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8"/>
          <w:szCs w:val="48"/>
        </w:rPr>
        <w:t>年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8"/>
          <w:szCs w:val="48"/>
          <w:lang w:eastAsia="zh-CN"/>
        </w:rPr>
        <w:t>恩平市城市管理和综合执法局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8"/>
          <w:szCs w:val="48"/>
        </w:rPr>
        <w:t>“三公”经费安排情况说明</w:t>
      </w:r>
    </w:p>
    <w:p>
      <w:pPr>
        <w:widowControl/>
        <w:spacing w:before="150" w:after="150" w:line="401" w:lineRule="atLeas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年财政拨款安排出国（境）经费、车辆购置及运行费、公务接待费（简称“三公”经费）支出合计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>72.75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万元。</w:t>
      </w:r>
    </w:p>
    <w:p>
      <w:pPr>
        <w:widowControl/>
        <w:spacing w:before="150" w:after="150" w:line="401" w:lineRule="atLeast"/>
        <w:ind w:firstLine="480" w:firstLine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（一）因公出国（境）经费支出0万元。</w:t>
      </w:r>
    </w:p>
    <w:p>
      <w:pPr>
        <w:widowControl/>
        <w:spacing w:before="150" w:after="150" w:line="401" w:lineRule="atLeast"/>
        <w:ind w:firstLine="480" w:firstLine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（二）公务用车购置费支出0万元。</w:t>
      </w:r>
    </w:p>
    <w:p>
      <w:pPr>
        <w:widowControl/>
        <w:spacing w:before="150" w:after="150" w:line="401" w:lineRule="atLeast"/>
        <w:ind w:firstLine="480" w:firstLine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（三）公务用车运行维护费支出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>8.03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万元，与上年持平。</w:t>
      </w:r>
    </w:p>
    <w:p>
      <w:pPr>
        <w:widowControl/>
        <w:spacing w:before="150" w:after="150" w:line="401" w:lineRule="atLeast"/>
        <w:ind w:firstLine="480" w:firstLine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（四）公务接待费支出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>0.27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万元，与上年持平。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68"/>
        <w:gridCol w:w="1541"/>
        <w:gridCol w:w="1593"/>
        <w:gridCol w:w="14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401" w:lineRule="atLeast"/>
              <w:ind w:firstLine="700" w:firstLineChars="250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202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年财政拨款安排的行政经费及“三公”经费预算表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恩平市市场监督管理局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单位:万元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37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1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一般公共预算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政府性基金预算</w:t>
            </w: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国有资本经营预算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“三公”经费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72.75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72.75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其中：（一）因公出国（境）支出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（二）公务用车购置及运行维护支出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8.03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8.03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1.公务用车购置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2.公务用车运行维护费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8.03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8.03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（三）公务接待费支出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0.27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0.27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</w:tbl>
    <w:p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注： 一、行政经费是指用于维持行政（参公）单位机关运行的经费。具体包括：办公费、印刷费、水费、电费、邮电费、取暖费、物业管理费、差旅费、因公出国（境）费用、维修（护）费、租赁费、会议费、培训费、公务接待费、专用材料费、被装购置费、福利费、公务用车运行维护费、其他交通费用、医疗费补助、办公设备购置、专用设备购置、信息网络及软件购置更新、公务用车购置、其他交通工具购置经济科目对应的预算资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480" w:lineRule="atLeast"/>
        <w:ind w:left="0" w:right="0" w:firstLine="5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二、“三公”经费包括因公出国（境）经费、公务用车购置及运行维护费和公务接待费。其中：因公出国（境）经费指省直行政单位、事业单位工作人员公务出国（境）的住宿费、差旅费、伙食补助费、杂费、培训费等支出；公务用车购置及运行维护费指省直行政单位、事业单位公务用车购置费、公务用车租用费、燃料费、维修费、过桥过路费、保险费等支出；公务接待费指省直行政单位、事业单位按规定开支的各类公务接待（外宾接待）费用。   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DD4"/>
    <w:rsid w:val="000A40CE"/>
    <w:rsid w:val="00236DD4"/>
    <w:rsid w:val="00BB7BC4"/>
    <w:rsid w:val="330A7AC0"/>
    <w:rsid w:val="47C0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2021-03-09T09:17:00Z</dcterms:created>
  <dc:creator>吴小玉</dc:creator>
  <cp:lastModifiedBy>Administrator</cp:lastModifiedBy>
  <dcterms:modified xsi:type="dcterms:W3CDTF">2022-03-25T08:11:41Z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6C99AF01E151494998F078CB983F7A34</vt:lpwstr>
  </property>
</Properties>
</file>