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eastAsia="仿宋_GB2312"/>
          <w:sz w:val="30"/>
          <w:szCs w:val="30"/>
        </w:rPr>
      </w:pPr>
      <w:bookmarkStart w:id="0" w:name="_GoBack"/>
      <w:bookmarkEnd w:id="0"/>
      <w:r>
        <w:rPr>
          <w:rFonts w:hint="eastAsia" w:ascii="仿宋_GB2312" w:eastAsia="仿宋_GB2312"/>
          <w:sz w:val="30"/>
          <w:szCs w:val="30"/>
        </w:rPr>
        <w:t>附件</w:t>
      </w:r>
    </w:p>
    <w:p>
      <w:pPr>
        <w:adjustRightInd w:val="0"/>
        <w:snapToGrid w:val="0"/>
        <w:spacing w:beforeLines="100"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恩平市公安局2020年度行政许可</w:t>
      </w:r>
    </w:p>
    <w:p>
      <w:pPr>
        <w:adjustRightInd w:val="0"/>
        <w:snapToGrid w:val="0"/>
        <w:spacing w:beforeLines="50" w:afterLines="100"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实施和监督管理情况报告</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根据《广东省行政许可监督管理条例》要求，现将本单位2020年度行政许可实施和监督管理情况报告如下：</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pPr>
        <w:adjustRightInd w:val="0"/>
        <w:snapToGrid w:val="0"/>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（一）现有事项及办理情况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现有行政许可事项45项，均已纳入江门市行政许可标准化目录，均已进驻省网上办事大厅。全年行政许可的申请56432宗、受理42991宗，其中许可33875宗、不予许可46宗、撤销许可159宗、出入境业务未受理221宗（因疫情防控需要，按上级主管业务部门要求做好劝阻办证工作）。</w:t>
      </w:r>
    </w:p>
    <w:p>
      <w:pPr>
        <w:adjustRightInd w:val="0"/>
        <w:snapToGrid w:val="0"/>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（二）依法实施情况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受理的许可申请均遵守法律法规规定的审批权限、范围、程序、条件等进行办理，因不同的行政许可依据的法律法规规定不同，详情可见于“广东政务服务网”。本单位受理许可申请后，均对行政审批事项严格按照裁量基准和许可条件规范进行审查。现本单位已经按照上级规定要求，对行政许可事项进行审批流程优化、审批程序简化，实行网上审批的创新审批方式。例如：（1）旅馆业特种行业许可证核发由原来的15天缩短为3天，公章刻制业特种行业许可证核发由原来的15天改为现场核发。（2）仅1月23日至2月26日期间，本单位交通许可业务线上办理达3160宗，预约窗口办理业务共203宗。</w:t>
      </w:r>
    </w:p>
    <w:p>
      <w:pPr>
        <w:adjustRightInd w:val="0"/>
        <w:snapToGrid w:val="0"/>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（三）公开公示情况。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行政许可事项申请标准、办事指南已经主动公开在“广东政务服务网”，对于不涉及个人隐私、商业秘密、国家秘密的行政许可审批结果在“信用广东网”进行主动向社会公开，故公开渠道主要为“广东政务服务网”、“粤省事”“信用广东网”。对外公开公示的信息包括：行政许可的基本信息、受理标准、办理流程、申请材料、咨询监督、窗口办理、收费项目信息、法律依据、权利与义务、法律救济及审批结果，而对不涉及个人隐私、商业秘密、国家秘密的审批结果会定期进行公开公示。</w:t>
      </w:r>
    </w:p>
    <w:p>
      <w:pPr>
        <w:adjustRightInd w:val="0"/>
        <w:snapToGrid w:val="0"/>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（四）监督管理情况。</w:t>
      </w:r>
    </w:p>
    <w:p>
      <w:pPr>
        <w:adjustRightInd w:val="0"/>
        <w:snapToGrid w:val="0"/>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本单位由专职部门对行政许可事项的审批情况进行全方位监督管理。</w:t>
      </w:r>
      <w:r>
        <w:rPr>
          <w:rFonts w:hint="eastAsia" w:ascii="仿宋_GB2312" w:eastAsia="仿宋_GB2312"/>
          <w:b/>
          <w:sz w:val="32"/>
          <w:szCs w:val="32"/>
        </w:rPr>
        <w:t>一是</w:t>
      </w:r>
      <w:r>
        <w:rPr>
          <w:rFonts w:hint="eastAsia" w:ascii="仿宋_GB2312" w:eastAsia="仿宋_GB2312"/>
          <w:sz w:val="32"/>
          <w:szCs w:val="32"/>
        </w:rPr>
        <w:t>对授权监督单位进驻行政服务中心大厅的出入境和车管所办证大厅的服务窗口开展“体验式监督”专项活动，重点对窗口服务工作人员的服务态度、受理业务情况、警容风纪等进行了监督检查，同时日常结合内部视频监控不定期开展监督。</w:t>
      </w:r>
      <w:r>
        <w:rPr>
          <w:rFonts w:hint="eastAsia" w:ascii="仿宋_GB2312" w:eastAsia="仿宋_GB2312"/>
          <w:b/>
          <w:sz w:val="32"/>
          <w:szCs w:val="32"/>
        </w:rPr>
        <w:t>二是</w:t>
      </w:r>
      <w:r>
        <w:rPr>
          <w:rFonts w:hint="eastAsia" w:ascii="仿宋_GB2312" w:eastAsia="仿宋_GB2312"/>
          <w:sz w:val="32"/>
          <w:szCs w:val="32"/>
        </w:rPr>
        <w:t>结合专项督察和清查行动，联合治安部门加强对烟花爆竹各环节的指导检查、大型群众性活动的管控和监督。</w:t>
      </w:r>
      <w:r>
        <w:rPr>
          <w:rFonts w:hint="eastAsia" w:ascii="仿宋_GB2312" w:eastAsia="仿宋_GB2312"/>
          <w:b/>
          <w:sz w:val="32"/>
          <w:szCs w:val="32"/>
        </w:rPr>
        <w:t>三是</w:t>
      </w:r>
      <w:r>
        <w:rPr>
          <w:rFonts w:hint="eastAsia" w:ascii="仿宋_GB2312" w:eastAsia="仿宋_GB2312"/>
          <w:sz w:val="32"/>
          <w:szCs w:val="32"/>
        </w:rPr>
        <w:t>不定期对内部监督部门开展明察暗访。</w:t>
      </w:r>
      <w:r>
        <w:rPr>
          <w:rFonts w:hint="eastAsia" w:ascii="仿宋_GB2312" w:eastAsia="仿宋_GB2312"/>
          <w:b/>
          <w:sz w:val="32"/>
          <w:szCs w:val="32"/>
        </w:rPr>
        <w:t>四是</w:t>
      </w:r>
      <w:r>
        <w:rPr>
          <w:rFonts w:hint="eastAsia" w:ascii="仿宋_GB2312" w:eastAsia="仿宋_GB2312"/>
          <w:sz w:val="32"/>
          <w:szCs w:val="32"/>
        </w:rPr>
        <w:t>畅通投诉举报渠道。通过“12345”政府服务热线、12389督察投诉件及7727589投诉电话等收集处理涉及公安部门从事受理审批行政许可事项活动的投诉。</w:t>
      </w:r>
    </w:p>
    <w:p>
      <w:pPr>
        <w:adjustRightInd w:val="0"/>
        <w:snapToGrid w:val="0"/>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（五）实施效果情况。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的行政许可实施情况已经达到设立行政许可时预期的效果；因本单位涉及的许可事项概括交通、出入境等方面的业务，故年度事项办理业务量巨大，多达五万多宗；且所有受理的行政许可均按时办结，现办结时限效率在进一步提高。本单位的行政许可事项均纳入网上办理，除必须本人到场办理的事项外，均能实现全流程网上办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为进一步提高群众的便利度，本单位实行一系列的“绿色通道”、“容缺受理”等服务方式创新机制。</w:t>
      </w:r>
      <w:r>
        <w:rPr>
          <w:rFonts w:hint="eastAsia" w:ascii="仿宋_GB2312" w:eastAsia="仿宋_GB2312"/>
          <w:b/>
          <w:sz w:val="32"/>
          <w:szCs w:val="32"/>
        </w:rPr>
        <w:t>一是</w:t>
      </w:r>
      <w:r>
        <w:rPr>
          <w:rFonts w:hint="eastAsia" w:ascii="仿宋_GB2312" w:eastAsia="仿宋_GB2312"/>
          <w:sz w:val="32"/>
          <w:szCs w:val="32"/>
        </w:rPr>
        <w:t>优化机动车查验检验程序。采取机动车信息先期采集录入及机动车预查验改革措施，严格按照《广东省机动车销售企业快捷代办登记试点工作方案》要求，实现汽车销售、登记、上牌“一站式”服务。</w:t>
      </w:r>
      <w:r>
        <w:rPr>
          <w:rFonts w:hint="eastAsia" w:ascii="仿宋_GB2312" w:eastAsia="仿宋_GB2312"/>
          <w:b/>
          <w:sz w:val="32"/>
          <w:szCs w:val="32"/>
        </w:rPr>
        <w:t>二是</w:t>
      </w:r>
      <w:r>
        <w:rPr>
          <w:rFonts w:hint="eastAsia" w:ascii="仿宋_GB2312" w:eastAsia="仿宋_GB2312"/>
          <w:sz w:val="32"/>
          <w:szCs w:val="32"/>
        </w:rPr>
        <w:t>简化机动车登记工作。积极完善机动车登记方式方法，一方面落实汽车金融机构办理机动车抵押登记备案手续，由提供原件调整为提供加盖单位公章复印件的措施；一方面在各大车行加大宣传力度，告知车主可根据车行购车资料提前在互联网平台和公安网系统中预选车辆号牌，为群众个性化出行提供良好的服务。此外，落实非营运小微型载客汽车档案电子化网上转递，实行机动车变更迁出登记一次核档、一次查验，档案内部转递服务。</w:t>
      </w:r>
      <w:r>
        <w:rPr>
          <w:rFonts w:hint="eastAsia" w:ascii="仿宋_GB2312" w:eastAsia="仿宋_GB2312"/>
          <w:b/>
          <w:sz w:val="32"/>
          <w:szCs w:val="32"/>
        </w:rPr>
        <w:t>三是</w:t>
      </w:r>
      <w:r>
        <w:rPr>
          <w:rFonts w:hint="eastAsia" w:ascii="仿宋_GB2312" w:eastAsia="仿宋_GB2312"/>
          <w:sz w:val="32"/>
          <w:szCs w:val="32"/>
        </w:rPr>
        <w:t>深化“互联网+车管”服务。群众可以通过江门“邑微警”公众号预约办理窗口业务。</w:t>
      </w:r>
      <w:r>
        <w:rPr>
          <w:rFonts w:hint="eastAsia" w:ascii="仿宋_GB2312" w:eastAsia="仿宋_GB2312"/>
          <w:b/>
          <w:sz w:val="32"/>
          <w:szCs w:val="32"/>
        </w:rPr>
        <w:t>四是</w:t>
      </w:r>
      <w:r>
        <w:rPr>
          <w:rFonts w:hint="eastAsia" w:ascii="仿宋_GB2312" w:eastAsia="仿宋_GB2312"/>
          <w:sz w:val="32"/>
          <w:szCs w:val="32"/>
        </w:rPr>
        <w:t>车管业务应急办理。开通“应急窗口”和“绿色通道”，做好“加急办、预约办、便捷办”服务，提供临时号牌网上申领服务，高效办理疫情防控应急车辆和驾驶人牌证。</w:t>
      </w:r>
      <w:r>
        <w:rPr>
          <w:rFonts w:hint="eastAsia" w:ascii="仿宋_GB2312" w:eastAsia="仿宋_GB2312"/>
          <w:b/>
          <w:sz w:val="32"/>
          <w:szCs w:val="32"/>
        </w:rPr>
        <w:t>五是</w:t>
      </w:r>
      <w:r>
        <w:rPr>
          <w:rFonts w:hint="eastAsia" w:ascii="仿宋_GB2312" w:eastAsia="仿宋_GB2312"/>
          <w:sz w:val="32"/>
          <w:szCs w:val="32"/>
        </w:rPr>
        <w:t>疫情期间暂停车管所窗口业务现场办理，仅提供网上服务。为提高群众办事效率，防止疫情交叉感染，积极引导群众在“交管12123”手机APP办理业务，并做好群众解释工作。</w:t>
      </w:r>
      <w:r>
        <w:rPr>
          <w:rFonts w:hint="eastAsia" w:ascii="仿宋_GB2312" w:eastAsia="仿宋_GB2312"/>
          <w:b/>
          <w:sz w:val="32"/>
          <w:szCs w:val="32"/>
        </w:rPr>
        <w:t>六是</w:t>
      </w:r>
      <w:r>
        <w:rPr>
          <w:rFonts w:hint="eastAsia" w:ascii="仿宋_GB2312" w:eastAsia="仿宋_GB2312"/>
          <w:sz w:val="32"/>
          <w:szCs w:val="32"/>
        </w:rPr>
        <w:t>取消现场发放证件。车管所窗口人员准确录入群众可以收到牌证的邮寄地址，采取邮政部门邮寄送达方式，约2日可将牌证寄达到群众手中。</w:t>
      </w:r>
      <w:r>
        <w:rPr>
          <w:rFonts w:hint="eastAsia" w:ascii="仿宋_GB2312" w:eastAsia="仿宋_GB2312"/>
          <w:b/>
          <w:sz w:val="32"/>
          <w:szCs w:val="32"/>
        </w:rPr>
        <w:t>七是</w:t>
      </w:r>
      <w:r>
        <w:rPr>
          <w:rFonts w:hint="eastAsia" w:ascii="仿宋_GB2312" w:eastAsia="仿宋_GB2312"/>
          <w:sz w:val="32"/>
          <w:szCs w:val="32"/>
        </w:rPr>
        <w:t>出入境的办证大厅设有“优抚对象优先窗口”、“服务粤港澳大湾区企业绿色通道”、“老年人绿色通道”等便利通道；并增设志愿者服务岗，加强对办证大厅自助设备的人工引导，协助解决群众在使用自助设备时遇到的困难。备有老年人常用的救助设备及药品，各受理窗口均备有老花镜、放大镜等便利工具。</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现场调研及后台数据分析，行政许可相对人对本单位行政许可审批工作的认可度、满意度均较高。为进一步保障群众权益，保证投诉举报渠道的顺畅，对本单位办理行为的投诉举报和对被许可人从事行政许可事项活动的投诉举报，均由本单位专职部门统一负责接收处理，其中接收投诉举办事项的渠道主要是“12345”政府服务热线、12389督察投诉件及7727589投诉电话。</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二、存在问题和困难</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实施行政许可及监督管理的后台系统过多，更换频率过高，导致实施部门的工作量大幅上升，目前涉及行政许可的系统主要有三大系统平台，加上近两年对其中两大系统平台进行更换，即近两年内仅行政许可事项的系统平台已经涉及到五个，严重影响行政许可实施、监督管理的工作效率；希望相关责任单位能通过科技手段将资源进行整合，避免不必要的人工录入工作。</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三、下一步工作措施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为加强本单位行政许可实施监督管理效果，</w:t>
      </w:r>
      <w:r>
        <w:rPr>
          <w:rFonts w:hint="eastAsia" w:ascii="仿宋_GB2312" w:eastAsia="仿宋_GB2312"/>
          <w:b/>
          <w:sz w:val="32"/>
          <w:szCs w:val="32"/>
        </w:rPr>
        <w:t>一是</w:t>
      </w:r>
      <w:r>
        <w:rPr>
          <w:rFonts w:hint="eastAsia" w:ascii="仿宋_GB2312" w:eastAsia="仿宋_GB2312"/>
          <w:sz w:val="32"/>
          <w:szCs w:val="32"/>
        </w:rPr>
        <w:t>提高思想意识，坚持“四个意识”，回应群众期盼，提高为人民群众服务的意识，打造一支</w:t>
      </w:r>
      <w:r>
        <w:rPr>
          <w:rFonts w:hint="eastAsia" w:ascii="仿宋_GB2312" w:hAnsi="Calibri" w:eastAsia="仿宋_GB2312"/>
          <w:sz w:val="32"/>
          <w:szCs w:val="32"/>
        </w:rPr>
        <w:t>信念过硬、政治过硬、责任过硬、能力过硬、作风过硬，以建设德才兼备的高素质工作队伍</w:t>
      </w:r>
      <w:r>
        <w:rPr>
          <w:rFonts w:hint="eastAsia" w:ascii="仿宋_GB2312" w:eastAsia="仿宋_GB2312"/>
          <w:sz w:val="32"/>
          <w:szCs w:val="32"/>
        </w:rPr>
        <w:t>。</w:t>
      </w:r>
      <w:r>
        <w:rPr>
          <w:rFonts w:hint="eastAsia" w:ascii="仿宋_GB2312" w:eastAsia="仿宋_GB2312"/>
          <w:b/>
          <w:sz w:val="32"/>
          <w:szCs w:val="32"/>
        </w:rPr>
        <w:t>二是</w:t>
      </w:r>
      <w:r>
        <w:rPr>
          <w:rFonts w:hint="eastAsia" w:ascii="仿宋_GB2312" w:eastAsia="仿宋_GB2312"/>
          <w:sz w:val="32"/>
          <w:szCs w:val="32"/>
        </w:rPr>
        <w:t>坚持宽严相济，进一步推进“绿色通道”、“容缺受理”等便民机制。在保障严格审核行政相对人的申请条件下，进行资源整合、结构优化、程序简化，为申请人提供最大的便利性，降低群众行政许可申请的时间成本。</w:t>
      </w:r>
      <w:r>
        <w:rPr>
          <w:rFonts w:hint="eastAsia" w:ascii="仿宋_GB2312" w:eastAsia="仿宋_GB2312"/>
          <w:b/>
          <w:sz w:val="32"/>
          <w:szCs w:val="32"/>
        </w:rPr>
        <w:t>三是</w:t>
      </w:r>
      <w:r>
        <w:rPr>
          <w:rFonts w:hint="eastAsia" w:ascii="仿宋_GB2312" w:eastAsia="仿宋_GB2312"/>
          <w:sz w:val="32"/>
          <w:szCs w:val="32"/>
        </w:rPr>
        <w:t>大力加强宣传工作。行政许可办理渠道已经扩大到线上申请办理、指尖申请办理等便利性办理渠道，但部分群众对该便利性办理方式尚未可知或者尚未熟悉。为将便民措施达到更好的落地实施效果，本单位将大力加强宣传便民措施的操作方式。</w:t>
      </w:r>
    </w:p>
    <w:sectPr>
      <w:footerReference r:id="rId3" w:type="default"/>
      <w:footerReference r:id="rId4" w:type="even"/>
      <w:pgSz w:w="11906" w:h="16838"/>
      <w:pgMar w:top="1701" w:right="1701" w:bottom="1701" w:left="1701" w:header="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003"/>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26"/>
    <w:rsid w:val="00035946"/>
    <w:rsid w:val="00042931"/>
    <w:rsid w:val="000858E0"/>
    <w:rsid w:val="00094C7E"/>
    <w:rsid w:val="000E50A2"/>
    <w:rsid w:val="00120DEC"/>
    <w:rsid w:val="001443D0"/>
    <w:rsid w:val="00182021"/>
    <w:rsid w:val="00191FC1"/>
    <w:rsid w:val="00193B33"/>
    <w:rsid w:val="001B5675"/>
    <w:rsid w:val="001C2526"/>
    <w:rsid w:val="001E294A"/>
    <w:rsid w:val="002028B8"/>
    <w:rsid w:val="00250B76"/>
    <w:rsid w:val="002720B7"/>
    <w:rsid w:val="002C210F"/>
    <w:rsid w:val="002C364E"/>
    <w:rsid w:val="002C6A4E"/>
    <w:rsid w:val="00302F64"/>
    <w:rsid w:val="00327329"/>
    <w:rsid w:val="003372C0"/>
    <w:rsid w:val="00402F53"/>
    <w:rsid w:val="00441E99"/>
    <w:rsid w:val="004755E3"/>
    <w:rsid w:val="004D1FD1"/>
    <w:rsid w:val="00537B2A"/>
    <w:rsid w:val="0055470A"/>
    <w:rsid w:val="005868B5"/>
    <w:rsid w:val="005A19E9"/>
    <w:rsid w:val="005E3A79"/>
    <w:rsid w:val="005F73C1"/>
    <w:rsid w:val="006A3A08"/>
    <w:rsid w:val="006B13E6"/>
    <w:rsid w:val="006D301C"/>
    <w:rsid w:val="006E63F6"/>
    <w:rsid w:val="00756DA9"/>
    <w:rsid w:val="00760A0E"/>
    <w:rsid w:val="007811EC"/>
    <w:rsid w:val="00785569"/>
    <w:rsid w:val="007B0861"/>
    <w:rsid w:val="008014C3"/>
    <w:rsid w:val="008131FD"/>
    <w:rsid w:val="00824036"/>
    <w:rsid w:val="00840E58"/>
    <w:rsid w:val="008629EB"/>
    <w:rsid w:val="00871775"/>
    <w:rsid w:val="00872B26"/>
    <w:rsid w:val="00882A3B"/>
    <w:rsid w:val="008C5833"/>
    <w:rsid w:val="008D295C"/>
    <w:rsid w:val="00922522"/>
    <w:rsid w:val="00930F7C"/>
    <w:rsid w:val="009B3460"/>
    <w:rsid w:val="009E557A"/>
    <w:rsid w:val="009E5694"/>
    <w:rsid w:val="00A67492"/>
    <w:rsid w:val="00A75122"/>
    <w:rsid w:val="00A76958"/>
    <w:rsid w:val="00AB6404"/>
    <w:rsid w:val="00AB6CC2"/>
    <w:rsid w:val="00AF1938"/>
    <w:rsid w:val="00AF4717"/>
    <w:rsid w:val="00B00335"/>
    <w:rsid w:val="00B05B02"/>
    <w:rsid w:val="00B43DD2"/>
    <w:rsid w:val="00B51AD9"/>
    <w:rsid w:val="00B6365E"/>
    <w:rsid w:val="00B861CA"/>
    <w:rsid w:val="00C178FD"/>
    <w:rsid w:val="00C205FA"/>
    <w:rsid w:val="00C318C4"/>
    <w:rsid w:val="00C60375"/>
    <w:rsid w:val="00C931ED"/>
    <w:rsid w:val="00CA6918"/>
    <w:rsid w:val="00D010A5"/>
    <w:rsid w:val="00DA4027"/>
    <w:rsid w:val="00DB29CF"/>
    <w:rsid w:val="00E13E94"/>
    <w:rsid w:val="00ED0C88"/>
    <w:rsid w:val="00EE219C"/>
    <w:rsid w:val="00F46A44"/>
    <w:rsid w:val="00F710B3"/>
    <w:rsid w:val="00F71545"/>
    <w:rsid w:val="00F8565C"/>
    <w:rsid w:val="00FA02D9"/>
    <w:rsid w:val="161F6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heme="minorHAnsi" w:hAnsiTheme="minorHAnsi" w:cstheme="minorBidi"/>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link w:val="2"/>
    <w:uiPriority w:val="99"/>
    <w:rPr>
      <w:rFonts w:eastAsia="宋体"/>
      <w:sz w:val="18"/>
      <w:szCs w:val="18"/>
    </w:rPr>
  </w:style>
  <w:style w:type="character" w:customStyle="1" w:styleId="8">
    <w:name w:val="页脚 Char1"/>
    <w:basedOn w:val="5"/>
    <w:semiHidden/>
    <w:qFormat/>
    <w:uiPriority w:val="99"/>
    <w:rPr>
      <w:rFonts w:ascii="Times New Roman" w:hAnsi="Times New Roman" w:eastAsia="宋体" w:cs="Times New Roman"/>
      <w:sz w:val="18"/>
      <w:szCs w:val="18"/>
    </w:rPr>
  </w:style>
  <w:style w:type="character" w:customStyle="1" w:styleId="9">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391</Words>
  <Characters>2231</Characters>
  <Lines>18</Lines>
  <Paragraphs>5</Paragraphs>
  <TotalTime>294</TotalTime>
  <ScaleCrop>false</ScaleCrop>
  <LinksUpToDate>false</LinksUpToDate>
  <CharactersWithSpaces>2617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2021-03-23T02:40:00Z</dcterms:created>
  <dc:creator>李惠敏</dc:creator>
  <cp:lastModifiedBy>Administrator</cp:lastModifiedBy>
  <cp:lastPrinted>2021-03-31T03:38:00Z</cp:lastPrinted>
  <dcterms:modified xsi:type="dcterms:W3CDTF">2021-03-31T08:04:21Z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