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仿宋" w:hAnsi="仿宋" w:eastAsia="仿宋" w:cs="仿宋"/>
          <w:spacing w:val="10"/>
          <w:kern w:val="0"/>
          <w:sz w:val="32"/>
          <w:szCs w:val="32"/>
        </w:rPr>
      </w:pPr>
      <w:r>
        <w:rPr>
          <w:rFonts w:hint="eastAsia" w:ascii="仿宋" w:hAnsi="仿宋" w:eastAsia="仿宋" w:cs="仿宋"/>
          <w:spacing w:val="10"/>
          <w:kern w:val="0"/>
          <w:sz w:val="32"/>
          <w:szCs w:val="32"/>
        </w:rPr>
        <w:t>附件：</w:t>
      </w:r>
    </w:p>
    <w:p>
      <w:pPr>
        <w:spacing w:line="360" w:lineRule="auto"/>
        <w:jc w:val="center"/>
        <w:rPr>
          <w:rFonts w:ascii="仿宋" w:hAnsi="仿宋" w:eastAsia="仿宋" w:cs="仿宋"/>
          <w:b/>
          <w:bCs/>
          <w:sz w:val="32"/>
          <w:szCs w:val="32"/>
        </w:rPr>
      </w:pPr>
      <w:r>
        <w:rPr>
          <w:rFonts w:hint="eastAsia" w:ascii="方正小标宋简体" w:hAnsi="Times New Roman" w:eastAsia="方正小标宋简体"/>
          <w:b/>
          <w:bCs/>
          <w:spacing w:val="10"/>
          <w:kern w:val="0"/>
          <w:sz w:val="44"/>
          <w:szCs w:val="44"/>
          <w:lang w:val="zh-CN"/>
        </w:rPr>
        <w:t>恩平市政务机房统一运维服务项目方案</w:t>
      </w:r>
    </w:p>
    <w:p>
      <w:pPr>
        <w:spacing w:before="156" w:beforeLines="50" w:line="360" w:lineRule="auto"/>
        <w:ind w:firstLine="643" w:firstLineChars="200"/>
        <w:rPr>
          <w:rFonts w:ascii="黑体" w:hAnsi="黑体" w:eastAsia="黑体" w:cs="黑体"/>
          <w:b/>
          <w:bCs/>
          <w:sz w:val="32"/>
          <w:szCs w:val="32"/>
        </w:rPr>
      </w:pPr>
      <w:r>
        <w:rPr>
          <w:rFonts w:hint="eastAsia" w:ascii="黑体" w:hAnsi="黑体" w:eastAsia="黑体" w:cs="黑体"/>
          <w:b/>
          <w:bCs/>
          <w:sz w:val="32"/>
          <w:szCs w:val="32"/>
        </w:rPr>
        <w:t>一、项目基本信息</w:t>
      </w:r>
    </w:p>
    <w:p>
      <w:pPr>
        <w:spacing w:line="360" w:lineRule="auto"/>
        <w:ind w:firstLine="643" w:firstLineChars="200"/>
        <w:rPr>
          <w:rFonts w:ascii="楷体" w:hAnsi="楷体" w:eastAsia="楷体" w:cs="楷体"/>
          <w:b/>
          <w:bCs/>
          <w:sz w:val="32"/>
          <w:szCs w:val="32"/>
        </w:rPr>
      </w:pPr>
      <w:r>
        <w:rPr>
          <w:rFonts w:hint="eastAsia" w:ascii="楷体" w:hAnsi="楷体" w:eastAsia="楷体" w:cs="楷体"/>
          <w:b/>
          <w:bCs/>
          <w:sz w:val="32"/>
          <w:szCs w:val="32"/>
        </w:rPr>
        <w:t>（一）项目名称</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恩平市政务机房统一运维服务项目</w:t>
      </w:r>
    </w:p>
    <w:p>
      <w:pPr>
        <w:spacing w:line="360" w:lineRule="auto"/>
        <w:ind w:firstLine="643" w:firstLineChars="200"/>
        <w:rPr>
          <w:rFonts w:ascii="楷体" w:hAnsi="楷体" w:eastAsia="楷体" w:cs="楷体"/>
          <w:b/>
          <w:bCs/>
          <w:sz w:val="32"/>
          <w:szCs w:val="32"/>
        </w:rPr>
      </w:pPr>
      <w:r>
        <w:rPr>
          <w:rFonts w:hint="eastAsia" w:ascii="楷体" w:hAnsi="楷体" w:eastAsia="楷体" w:cs="楷体"/>
          <w:b/>
          <w:bCs/>
          <w:sz w:val="32"/>
          <w:szCs w:val="32"/>
        </w:rPr>
        <w:t>（二）项目目标</w:t>
      </w:r>
    </w:p>
    <w:p>
      <w:pPr>
        <w:ind w:firstLine="640" w:firstLineChars="200"/>
        <w:rPr>
          <w:rFonts w:ascii="仿宋" w:hAnsi="仿宋" w:eastAsia="仿宋" w:cs="仿宋"/>
          <w:sz w:val="32"/>
          <w:szCs w:val="32"/>
        </w:rPr>
      </w:pPr>
      <w:r>
        <w:rPr>
          <w:rFonts w:hint="eastAsia" w:ascii="仿宋" w:hAnsi="仿宋" w:eastAsia="仿宋" w:cs="仿宋"/>
          <w:sz w:val="32"/>
          <w:szCs w:val="32"/>
        </w:rPr>
        <w:t>按照“集约高效、共享开放、安全可靠、按需服务、平稳过渡”的原则，组建一支稳定、专业的维护团队，承担“数字政府”政务机房硬件设备以及信息系统平台的专业化运维管理工作,提供统一运维响应和安全服务响应,制定运维服务标准规范，构建规范化、流程化、知识化、智能化、协同化的运维保障机制，保障政务信息系统平台的安全稳定可靠。</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（三）项目周期</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项目服务期为12个月。</w:t>
      </w:r>
    </w:p>
    <w:p>
      <w:pPr>
        <w:spacing w:line="360" w:lineRule="auto"/>
        <w:ind w:firstLine="643" w:firstLineChars="200"/>
        <w:rPr>
          <w:rFonts w:ascii="楷体" w:hAnsi="楷体" w:eastAsia="楷体" w:cs="楷体"/>
          <w:b/>
          <w:bCs/>
          <w:sz w:val="32"/>
          <w:szCs w:val="32"/>
        </w:rPr>
      </w:pPr>
      <w:r>
        <w:rPr>
          <w:rFonts w:hint="eastAsia" w:ascii="楷体" w:hAnsi="楷体" w:eastAsia="楷体" w:cs="楷体"/>
          <w:b/>
          <w:bCs/>
          <w:sz w:val="32"/>
          <w:szCs w:val="32"/>
        </w:rPr>
        <w:t>（四）项目规模</w:t>
      </w:r>
    </w:p>
    <w:p>
      <w:pPr>
        <w:spacing w:before="100" w:beforeAutospacing="1" w:after="100" w:afterAutospacing="1"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覆盖区域为：江门恩平。</w:t>
      </w:r>
    </w:p>
    <w:p>
      <w:pPr>
        <w:spacing w:line="360" w:lineRule="auto"/>
        <w:ind w:firstLine="643" w:firstLineChars="200"/>
        <w:rPr>
          <w:rFonts w:ascii="楷体" w:hAnsi="楷体" w:eastAsia="楷体" w:cs="楷体"/>
          <w:b/>
          <w:bCs/>
          <w:sz w:val="32"/>
          <w:szCs w:val="32"/>
        </w:rPr>
      </w:pPr>
      <w:r>
        <w:rPr>
          <w:rFonts w:hint="eastAsia" w:ascii="楷体" w:hAnsi="楷体" w:eastAsia="楷体" w:cs="楷体"/>
          <w:b/>
          <w:bCs/>
          <w:sz w:val="32"/>
          <w:szCs w:val="32"/>
        </w:rPr>
        <w:t>（五）总体投资</w:t>
      </w:r>
    </w:p>
    <w:p>
      <w:pPr>
        <w:ind w:firstLine="640" w:firstLineChars="200"/>
        <w:rPr>
          <w:rFonts w:ascii="等线" w:hAnsi="等线" w:eastAsia="等线"/>
          <w:sz w:val="22"/>
        </w:rPr>
      </w:pPr>
      <w:r>
        <w:rPr>
          <w:rFonts w:hint="eastAsia" w:ascii="仿宋" w:hAnsi="仿宋" w:eastAsia="仿宋" w:cs="仿宋"/>
          <w:sz w:val="32"/>
          <w:szCs w:val="32"/>
        </w:rPr>
        <w:t>项目预</w:t>
      </w:r>
      <w:r>
        <w:rPr>
          <w:rFonts w:hint="eastAsia" w:ascii="仿宋" w:hAnsi="仿宋" w:eastAsia="仿宋" w:cs="黑体"/>
          <w:bCs/>
          <w:sz w:val="32"/>
          <w:szCs w:val="32"/>
        </w:rPr>
        <w:t>算48.57万</w:t>
      </w:r>
      <w:r>
        <w:rPr>
          <w:rFonts w:hint="eastAsia" w:ascii="仿宋" w:hAnsi="仿宋" w:eastAsia="仿宋" w:cs="仿宋"/>
          <w:sz w:val="32"/>
          <w:szCs w:val="32"/>
        </w:rPr>
        <w:t>元。</w:t>
      </w:r>
    </w:p>
    <w:p>
      <w:pPr>
        <w:spacing w:before="156" w:beforeLines="50" w:line="360" w:lineRule="auto"/>
        <w:ind w:firstLine="643" w:firstLineChars="200"/>
        <w:rPr>
          <w:rFonts w:ascii="黑体" w:hAnsi="黑体" w:eastAsia="黑体" w:cs="黑体"/>
          <w:b/>
          <w:bCs/>
          <w:sz w:val="32"/>
          <w:szCs w:val="32"/>
        </w:rPr>
      </w:pPr>
      <w:r>
        <w:rPr>
          <w:rFonts w:hint="eastAsia" w:ascii="黑体" w:hAnsi="黑体" w:eastAsia="黑体" w:cs="黑体"/>
          <w:b/>
          <w:bCs/>
          <w:sz w:val="32"/>
          <w:szCs w:val="32"/>
        </w:rPr>
        <w:t>二、信息化需求分析</w:t>
      </w:r>
    </w:p>
    <w:p>
      <w:pPr>
        <w:spacing w:before="156" w:beforeLines="50" w:line="360" w:lineRule="auto"/>
        <w:ind w:firstLine="643" w:firstLineChars="200"/>
        <w:rPr>
          <w:rFonts w:ascii="楷体" w:hAnsi="楷体" w:eastAsia="楷体" w:cs="楷体"/>
          <w:b/>
          <w:bCs/>
          <w:sz w:val="32"/>
          <w:szCs w:val="32"/>
        </w:rPr>
      </w:pPr>
      <w:r>
        <w:rPr>
          <w:rFonts w:hint="eastAsia" w:ascii="楷体" w:hAnsi="楷体" w:eastAsia="楷体" w:cs="楷体"/>
          <w:b/>
          <w:bCs/>
          <w:sz w:val="32"/>
          <w:szCs w:val="32"/>
        </w:rPr>
        <w:t>（一）项目建设必要性</w:t>
      </w:r>
    </w:p>
    <w:p>
      <w:pPr>
        <w:spacing w:before="156" w:beforeLines="50" w:line="360" w:lineRule="auto"/>
        <w:ind w:firstLine="640" w:firstLineChars="200"/>
        <w:rPr>
          <w:rFonts w:ascii="楷体" w:hAnsi="楷体" w:eastAsia="楷体" w:cs="楷体"/>
          <w:b/>
          <w:bCs/>
          <w:sz w:val="32"/>
          <w:szCs w:val="32"/>
        </w:rPr>
      </w:pPr>
      <w:r>
        <w:rPr>
          <w:rFonts w:hint="eastAsia" w:ascii="仿宋" w:hAnsi="仿宋" w:eastAsia="仿宋" w:cs="楷体"/>
          <w:bCs/>
          <w:sz w:val="32"/>
          <w:szCs w:val="32"/>
        </w:rPr>
        <w:t>为加快推进我市电子政务集约化建设，适应信息共享的要求，实现电子政务信息基础设施统建共用，支撑政务业务协同和数据汇聚共享，全面整合和盘活现有政务机房资产，进一步提升现有政务机房的管理水平，承担“数字政府”政务机房集约化运维工作，确保政务系统安全可靠运行，保障迁移上云工作平稳有序过渡。由于全市政府部门的机房及系统众多、情况多样，因此依托专业技术运维团队的力量，开展政务机房统一运维服务工作是必要的。</w:t>
      </w:r>
    </w:p>
    <w:p>
      <w:pPr>
        <w:spacing w:before="156" w:beforeLines="50" w:line="360" w:lineRule="auto"/>
        <w:ind w:firstLine="643" w:firstLineChars="200"/>
        <w:rPr>
          <w:rFonts w:ascii="楷体" w:hAnsi="楷体" w:eastAsia="楷体" w:cs="楷体"/>
          <w:b/>
          <w:bCs/>
          <w:sz w:val="32"/>
          <w:szCs w:val="32"/>
        </w:rPr>
      </w:pPr>
      <w:r>
        <w:rPr>
          <w:rFonts w:hint="eastAsia" w:ascii="楷体" w:hAnsi="楷体" w:eastAsia="楷体" w:cs="楷体"/>
          <w:b/>
          <w:bCs/>
          <w:sz w:val="32"/>
          <w:szCs w:val="32"/>
        </w:rPr>
        <w:t>（二）项目建设依据</w:t>
      </w:r>
    </w:p>
    <w:p>
      <w:pPr>
        <w:ind w:firstLine="640" w:firstLineChars="200"/>
        <w:rPr>
          <w:rFonts w:ascii="仿宋" w:hAnsi="仿宋" w:eastAsia="仿宋" w:cs="仿宋"/>
          <w:sz w:val="32"/>
          <w:szCs w:val="32"/>
        </w:rPr>
      </w:pPr>
      <w:bookmarkStart w:id="0" w:name="_Hlk13815859"/>
      <w:r>
        <w:rPr>
          <w:rFonts w:hint="eastAsia" w:ascii="仿宋" w:hAnsi="仿宋" w:eastAsia="仿宋" w:cs="仿宋"/>
          <w:sz w:val="32"/>
          <w:szCs w:val="32"/>
        </w:rPr>
        <w:t>根据省政府《广东“数字政府”改革建设方案》（粤府〔2017〕133号）、《江门市“数字政府”综合改革试点方案》（粤改组发[2018]9号）和</w:t>
      </w:r>
      <w:r>
        <w:rPr>
          <w:rFonts w:ascii="仿宋" w:hAnsi="仿宋" w:eastAsia="仿宋" w:cs="仿宋"/>
          <w:sz w:val="32"/>
          <w:szCs w:val="32"/>
        </w:rPr>
        <w:t>《江门市人民政府办公室关于印发江门市实施“政务上云”工作方案的通知》(江府办函[2018]177号)</w:t>
      </w:r>
      <w:r>
        <w:rPr>
          <w:rFonts w:hint="eastAsia" w:ascii="仿宋" w:hAnsi="仿宋" w:eastAsia="仿宋" w:cs="仿宋"/>
          <w:sz w:val="32"/>
          <w:szCs w:val="32"/>
        </w:rPr>
        <w:t>的</w:t>
      </w:r>
      <w:r>
        <w:rPr>
          <w:rFonts w:ascii="仿宋" w:hAnsi="仿宋" w:eastAsia="仿宋" w:cs="仿宋"/>
          <w:sz w:val="32"/>
          <w:szCs w:val="32"/>
        </w:rPr>
        <w:t>要求，结合我市实际情况，为全面整合和盘活现有政务机房资产，进一步提升现有</w:t>
      </w:r>
      <w:r>
        <w:rPr>
          <w:rFonts w:hint="eastAsia" w:ascii="仿宋" w:hAnsi="仿宋" w:eastAsia="仿宋" w:cs="仿宋"/>
          <w:sz w:val="32"/>
          <w:szCs w:val="32"/>
        </w:rPr>
        <w:t>政务</w:t>
      </w:r>
      <w:r>
        <w:rPr>
          <w:rFonts w:ascii="仿宋" w:hAnsi="仿宋" w:eastAsia="仿宋" w:cs="仿宋"/>
          <w:sz w:val="32"/>
          <w:szCs w:val="32"/>
        </w:rPr>
        <w:t>机房的管理水平，保障迁移上云工作平稳有序过渡，现提出</w:t>
      </w:r>
      <w:r>
        <w:rPr>
          <w:rFonts w:hint="eastAsia" w:ascii="仿宋" w:hAnsi="仿宋" w:eastAsia="仿宋" w:cs="仿宋"/>
          <w:sz w:val="32"/>
          <w:szCs w:val="32"/>
        </w:rPr>
        <w:t>我市政务机房统一运维服务</w:t>
      </w:r>
      <w:r>
        <w:rPr>
          <w:rFonts w:hint="eastAsia" w:ascii="仿宋" w:hAnsi="仿宋" w:eastAsia="仿宋"/>
          <w:sz w:val="32"/>
          <w:szCs w:val="32"/>
        </w:rPr>
        <w:t>的项目需求</w:t>
      </w:r>
      <w:r>
        <w:rPr>
          <w:rFonts w:hint="eastAsia" w:ascii="仿宋" w:hAnsi="仿宋" w:eastAsia="仿宋" w:cs="仿宋"/>
          <w:sz w:val="32"/>
          <w:szCs w:val="32"/>
        </w:rPr>
        <w:t>。</w:t>
      </w:r>
    </w:p>
    <w:bookmarkEnd w:id="0"/>
    <w:p>
      <w:pPr>
        <w:ind w:firstLine="643" w:firstLineChars="200"/>
        <w:rPr>
          <w:rFonts w:ascii="楷体" w:hAnsi="楷体" w:eastAsia="楷体" w:cs="楷体"/>
          <w:b/>
          <w:bCs/>
          <w:sz w:val="32"/>
          <w:szCs w:val="32"/>
        </w:rPr>
      </w:pPr>
      <w:r>
        <w:rPr>
          <w:rFonts w:hint="eastAsia" w:ascii="楷体" w:hAnsi="楷体" w:eastAsia="楷体" w:cs="楷体"/>
          <w:b/>
          <w:bCs/>
          <w:sz w:val="32"/>
          <w:szCs w:val="32"/>
        </w:rPr>
        <w:t>（三）服务需求</w:t>
      </w:r>
    </w:p>
    <w:p>
      <w:pPr>
        <w:ind w:firstLine="640" w:firstLineChars="200"/>
        <w:rPr>
          <w:rFonts w:ascii="楷体" w:hAnsi="楷体" w:eastAsia="楷体" w:cs="楷体"/>
          <w:b/>
          <w:bCs/>
          <w:sz w:val="32"/>
          <w:szCs w:val="32"/>
        </w:rPr>
      </w:pPr>
      <w:r>
        <w:rPr>
          <w:rFonts w:ascii="仿宋" w:hAnsi="仿宋" w:eastAsia="仿宋" w:cs="仿宋"/>
          <w:sz w:val="32"/>
          <w:szCs w:val="32"/>
        </w:rPr>
        <w:t>全面整合和盘活现有政务机房资产，进一步提升现有</w:t>
      </w:r>
      <w:r>
        <w:rPr>
          <w:rFonts w:hint="eastAsia" w:ascii="仿宋" w:hAnsi="仿宋" w:eastAsia="仿宋" w:cs="仿宋"/>
          <w:sz w:val="32"/>
          <w:szCs w:val="32"/>
        </w:rPr>
        <w:t>政务</w:t>
      </w:r>
      <w:r>
        <w:rPr>
          <w:rFonts w:ascii="仿宋" w:hAnsi="仿宋" w:eastAsia="仿宋" w:cs="仿宋"/>
          <w:sz w:val="32"/>
          <w:szCs w:val="32"/>
        </w:rPr>
        <w:t>机房的管理水平</w:t>
      </w:r>
      <w:r>
        <w:rPr>
          <w:rFonts w:hint="eastAsia" w:ascii="仿宋" w:hAnsi="仿宋" w:eastAsia="仿宋" w:cs="仿宋"/>
          <w:sz w:val="32"/>
          <w:szCs w:val="32"/>
        </w:rPr>
        <w:t>，承担</w:t>
      </w:r>
      <w:r>
        <w:rPr>
          <w:rFonts w:hint="eastAsia" w:ascii="仿宋" w:hAnsi="仿宋" w:eastAsia="仿宋" w:cstheme="minorBidi"/>
          <w:sz w:val="32"/>
          <w:szCs w:val="32"/>
        </w:rPr>
        <w:t>“数字政府”政务机房“软件、硬件、网络、动力</w:t>
      </w:r>
      <w:r>
        <w:rPr>
          <w:rFonts w:hint="eastAsia" w:ascii="仿宋" w:hAnsi="仿宋" w:eastAsia="仿宋" w:cstheme="minorBidi"/>
          <w:sz w:val="32"/>
        </w:rPr>
        <w:t>环境、消防、机房撤并及集约化管理、安全防护、应急保障</w:t>
      </w:r>
      <w:r>
        <w:rPr>
          <w:rFonts w:hint="eastAsia" w:ascii="仿宋" w:hAnsi="仿宋" w:eastAsia="仿宋" w:cstheme="minorBidi"/>
          <w:sz w:val="32"/>
          <w:szCs w:val="32"/>
        </w:rPr>
        <w:t>”</w:t>
      </w:r>
      <w:r>
        <w:rPr>
          <w:rFonts w:hint="eastAsia" w:ascii="仿宋" w:hAnsi="仿宋" w:eastAsia="仿宋" w:cstheme="minorBidi"/>
          <w:bCs/>
          <w:sz w:val="32"/>
        </w:rPr>
        <w:t>等集约化运维工作，</w:t>
      </w:r>
      <w:r>
        <w:rPr>
          <w:rFonts w:hint="eastAsia" w:ascii="仿宋" w:hAnsi="仿宋" w:eastAsia="仿宋" w:cs="仿宋"/>
          <w:sz w:val="32"/>
          <w:szCs w:val="32"/>
        </w:rPr>
        <w:t>确保政务系统安全可靠运行，依托江门</w:t>
      </w:r>
      <w:r>
        <w:rPr>
          <w:rFonts w:ascii="仿宋" w:hAnsi="仿宋" w:eastAsia="仿宋" w:cs="仿宋"/>
          <w:sz w:val="32"/>
          <w:szCs w:val="32"/>
        </w:rPr>
        <w:t>市统一安全的“江门政务云”平台，保障迁移上云工作平稳有序过渡</w:t>
      </w:r>
      <w:r>
        <w:rPr>
          <w:rFonts w:hint="eastAsia" w:ascii="仿宋" w:hAnsi="仿宋" w:eastAsia="仿宋" w:cs="仿宋"/>
          <w:sz w:val="32"/>
          <w:szCs w:val="32"/>
        </w:rPr>
        <w:t>。包含如下需求：</w:t>
      </w:r>
    </w:p>
    <w:p>
      <w:pPr>
        <w:ind w:firstLine="643" w:firstLineChars="200"/>
        <w:rPr>
          <w:rFonts w:ascii="仿宋" w:hAnsi="仿宋" w:eastAsia="仿宋" w:cs="仿宋"/>
          <w:sz w:val="32"/>
          <w:szCs w:val="32"/>
        </w:rPr>
      </w:pPr>
      <w:r>
        <w:rPr>
          <w:rFonts w:hint="eastAsia" w:ascii="仿宋" w:hAnsi="仿宋" w:eastAsia="仿宋" w:cs="仿宋"/>
          <w:b/>
          <w:bCs/>
          <w:sz w:val="32"/>
          <w:szCs w:val="32"/>
        </w:rPr>
        <w:t>1.业务系统：</w:t>
      </w:r>
      <w:r>
        <w:rPr>
          <w:rFonts w:hint="eastAsia" w:ascii="仿宋" w:hAnsi="仿宋" w:eastAsia="仿宋" w:cs="仿宋"/>
          <w:sz w:val="32"/>
          <w:szCs w:val="32"/>
        </w:rPr>
        <w:t>对集中运维的两个政务机房（行政服务中心机房、科工商政务机房）的业务系统进行巡检和日常维护。</w:t>
      </w:r>
    </w:p>
    <w:p>
      <w:pPr>
        <w:ind w:firstLine="643" w:firstLineChars="200"/>
        <w:rPr>
          <w:rFonts w:ascii="仿宋" w:hAnsi="仿宋" w:eastAsia="仿宋" w:cs="仿宋"/>
          <w:sz w:val="32"/>
          <w:szCs w:val="32"/>
        </w:rPr>
      </w:pPr>
      <w:r>
        <w:rPr>
          <w:rFonts w:hint="eastAsia" w:ascii="仿宋" w:hAnsi="仿宋" w:eastAsia="仿宋" w:cs="仿宋"/>
          <w:b/>
          <w:bCs/>
          <w:sz w:val="32"/>
          <w:szCs w:val="32"/>
        </w:rPr>
        <w:t>2.硬件设备：</w:t>
      </w:r>
      <w:r>
        <w:rPr>
          <w:rFonts w:hint="eastAsia" w:ascii="仿宋" w:hAnsi="仿宋" w:eastAsia="仿宋" w:cs="仿宋"/>
          <w:sz w:val="32"/>
          <w:szCs w:val="32"/>
        </w:rPr>
        <w:t>对2个</w:t>
      </w:r>
      <w:r>
        <w:rPr>
          <w:rFonts w:hint="eastAsia" w:ascii="仿宋" w:hAnsi="仿宋" w:eastAsia="仿宋" w:cs="楷体"/>
          <w:sz w:val="32"/>
          <w:szCs w:val="32"/>
        </w:rPr>
        <w:t>政务中心机房</w:t>
      </w:r>
      <w:r>
        <w:rPr>
          <w:rFonts w:hint="eastAsia" w:ascii="仿宋" w:hAnsi="仿宋" w:eastAsia="仿宋" w:cs="仿宋"/>
          <w:sz w:val="32"/>
          <w:szCs w:val="32"/>
        </w:rPr>
        <w:t>的硬件设备进行台账管理和故障处理。</w:t>
      </w:r>
    </w:p>
    <w:p>
      <w:pPr>
        <w:ind w:firstLine="643" w:firstLineChars="200"/>
        <w:rPr>
          <w:rFonts w:ascii="仿宋" w:hAnsi="仿宋" w:eastAsia="仿宋" w:cs="仿宋"/>
          <w:sz w:val="32"/>
          <w:szCs w:val="32"/>
        </w:rPr>
      </w:pPr>
      <w:r>
        <w:rPr>
          <w:rFonts w:hint="eastAsia" w:ascii="仿宋" w:hAnsi="仿宋" w:eastAsia="仿宋" w:cs="仿宋"/>
          <w:b/>
          <w:bCs/>
          <w:sz w:val="32"/>
          <w:szCs w:val="32"/>
        </w:rPr>
        <w:t>3.网络维护：</w:t>
      </w:r>
      <w:r>
        <w:rPr>
          <w:rFonts w:hint="eastAsia" w:ascii="仿宋" w:hAnsi="仿宋" w:eastAsia="仿宋" w:cs="仿宋"/>
          <w:sz w:val="32"/>
          <w:szCs w:val="32"/>
        </w:rPr>
        <w:t>对2个</w:t>
      </w:r>
      <w:r>
        <w:rPr>
          <w:rFonts w:hint="eastAsia" w:ascii="仿宋" w:hAnsi="仿宋" w:eastAsia="仿宋" w:cs="楷体"/>
          <w:sz w:val="32"/>
          <w:szCs w:val="32"/>
        </w:rPr>
        <w:t>政务中心机房</w:t>
      </w:r>
      <w:r>
        <w:rPr>
          <w:rFonts w:hint="eastAsia" w:ascii="仿宋" w:hAnsi="仿宋" w:eastAsia="仿宋" w:cs="仿宋"/>
          <w:sz w:val="32"/>
          <w:szCs w:val="32"/>
        </w:rPr>
        <w:t>内网络线路进行日常监控、流量分析及故障处理配合，以及对全市政务机房进行通信保障。</w:t>
      </w:r>
    </w:p>
    <w:p>
      <w:pPr>
        <w:numPr>
          <w:ilvl w:val="255"/>
          <w:numId w:val="0"/>
        </w:numPr>
        <w:ind w:firstLine="643" w:firstLineChars="200"/>
        <w:rPr>
          <w:rFonts w:ascii="仿宋" w:hAnsi="仿宋" w:eastAsia="仿宋" w:cs="仿宋"/>
          <w:sz w:val="32"/>
          <w:szCs w:val="32"/>
        </w:rPr>
      </w:pPr>
      <w:r>
        <w:rPr>
          <w:rFonts w:hint="eastAsia" w:ascii="仿宋" w:hAnsi="仿宋" w:eastAsia="仿宋" w:cs="仿宋"/>
          <w:b/>
          <w:bCs/>
          <w:sz w:val="32"/>
          <w:szCs w:val="32"/>
        </w:rPr>
        <w:t>4.动力环境：</w:t>
      </w:r>
      <w:r>
        <w:rPr>
          <w:rFonts w:hint="eastAsia" w:ascii="仿宋" w:hAnsi="仿宋" w:eastAsia="仿宋" w:cs="仿宋"/>
          <w:sz w:val="32"/>
          <w:szCs w:val="32"/>
        </w:rPr>
        <w:t>对2个</w:t>
      </w:r>
      <w:r>
        <w:rPr>
          <w:rFonts w:hint="eastAsia" w:ascii="仿宋" w:hAnsi="仿宋" w:eastAsia="仿宋" w:cs="楷体"/>
          <w:sz w:val="32"/>
          <w:szCs w:val="32"/>
        </w:rPr>
        <w:t>政务中心机房</w:t>
      </w:r>
      <w:r>
        <w:rPr>
          <w:rFonts w:hint="eastAsia" w:ascii="仿宋" w:hAnsi="仿宋" w:eastAsia="仿宋" w:cs="仿宋"/>
          <w:sz w:val="32"/>
          <w:szCs w:val="32"/>
        </w:rPr>
        <w:t>内UPS设备、空调、环境监控设备进行日常监控、隐患排查及故障处理，以及对全市政务机房进行UPS设备和空调设备巡检。</w:t>
      </w:r>
    </w:p>
    <w:p>
      <w:pPr>
        <w:numPr>
          <w:ilvl w:val="255"/>
          <w:numId w:val="0"/>
        </w:numPr>
        <w:ind w:firstLine="643" w:firstLineChars="200"/>
        <w:rPr>
          <w:rFonts w:ascii="仿宋" w:hAnsi="仿宋" w:eastAsia="仿宋" w:cs="仿宋"/>
          <w:sz w:val="32"/>
          <w:szCs w:val="32"/>
        </w:rPr>
      </w:pPr>
      <w:r>
        <w:rPr>
          <w:rFonts w:hint="eastAsia" w:ascii="仿宋" w:hAnsi="仿宋" w:eastAsia="仿宋" w:cs="仿宋"/>
          <w:b/>
          <w:bCs/>
          <w:sz w:val="32"/>
          <w:szCs w:val="32"/>
        </w:rPr>
        <w:t>5.机房撤并及集约化管理：</w:t>
      </w:r>
      <w:r>
        <w:rPr>
          <w:rFonts w:hint="eastAsia" w:ascii="仿宋" w:hAnsi="仿宋" w:eastAsia="仿宋" w:cs="仿宋"/>
          <w:sz w:val="32"/>
          <w:szCs w:val="32"/>
        </w:rPr>
        <w:t>进行机房集中化管理，集中运维至2个政务机房。</w:t>
      </w:r>
    </w:p>
    <w:p>
      <w:pPr>
        <w:numPr>
          <w:ilvl w:val="255"/>
          <w:numId w:val="0"/>
        </w:numPr>
        <w:ind w:firstLine="643" w:firstLineChars="200"/>
        <w:rPr>
          <w:rFonts w:ascii="仿宋" w:hAnsi="仿宋" w:eastAsia="仿宋" w:cs="仿宋"/>
          <w:sz w:val="32"/>
          <w:szCs w:val="32"/>
        </w:rPr>
      </w:pPr>
      <w:r>
        <w:rPr>
          <w:rFonts w:hint="eastAsia" w:ascii="仿宋" w:hAnsi="仿宋" w:eastAsia="仿宋" w:cs="仿宋"/>
          <w:b/>
          <w:bCs/>
          <w:sz w:val="32"/>
          <w:szCs w:val="32"/>
        </w:rPr>
        <w:t>6.安全防护：</w:t>
      </w:r>
      <w:r>
        <w:rPr>
          <w:rFonts w:hint="eastAsia" w:ascii="仿宋" w:hAnsi="仿宋" w:eastAsia="仿宋" w:cs="仿宋"/>
          <w:sz w:val="32"/>
          <w:szCs w:val="32"/>
        </w:rPr>
        <w:t>定期检查2个政务中心机房的应用防火墙、流控、IPS等安全设备的运行状态，对终端、服务器进行安全扫描及补丁装载，及时处理安全隐患。</w:t>
      </w:r>
    </w:p>
    <w:p>
      <w:pPr>
        <w:numPr>
          <w:ilvl w:val="255"/>
          <w:numId w:val="0"/>
        </w:numPr>
        <w:ind w:firstLine="643" w:firstLineChars="200"/>
        <w:rPr>
          <w:rFonts w:ascii="仿宋" w:hAnsi="仿宋" w:eastAsia="仿宋" w:cs="仿宋"/>
          <w:sz w:val="32"/>
          <w:szCs w:val="32"/>
        </w:rPr>
      </w:pPr>
      <w:r>
        <w:rPr>
          <w:rFonts w:hint="eastAsia" w:ascii="仿宋" w:hAnsi="仿宋" w:eastAsia="仿宋" w:cs="仿宋"/>
          <w:b/>
          <w:bCs/>
          <w:sz w:val="32"/>
          <w:szCs w:val="32"/>
        </w:rPr>
        <w:t>7.应急保障：</w:t>
      </w:r>
      <w:r>
        <w:rPr>
          <w:rFonts w:hint="eastAsia" w:ascii="仿宋" w:hAnsi="仿宋" w:eastAsia="仿宋" w:cs="仿宋"/>
          <w:sz w:val="32"/>
          <w:szCs w:val="32"/>
        </w:rPr>
        <w:t>在发生重大事件、防风抗灾等期间，迅速派出应急队伍，安排专业工程师到机房现场随时响应。</w:t>
      </w:r>
    </w:p>
    <w:p>
      <w:pPr>
        <w:spacing w:before="156" w:beforeLines="50" w:line="360" w:lineRule="auto"/>
        <w:ind w:firstLine="643" w:firstLineChars="200"/>
        <w:rPr>
          <w:rFonts w:ascii="黑体" w:hAnsi="黑体" w:eastAsia="黑体" w:cs="黑体"/>
          <w:b/>
          <w:bCs/>
          <w:sz w:val="32"/>
          <w:szCs w:val="32"/>
        </w:rPr>
      </w:pPr>
      <w:r>
        <w:rPr>
          <w:rFonts w:hint="eastAsia" w:ascii="黑体" w:hAnsi="黑体" w:eastAsia="黑体" w:cs="黑体"/>
          <w:b/>
          <w:bCs/>
          <w:sz w:val="32"/>
          <w:szCs w:val="32"/>
        </w:rPr>
        <w:t>三、服务内容及服务清单</w:t>
      </w:r>
    </w:p>
    <w:p>
      <w:pPr>
        <w:ind w:firstLine="643" w:firstLineChars="200"/>
        <w:rPr>
          <w:rFonts w:ascii="楷体" w:hAnsi="楷体" w:eastAsia="楷体" w:cstheme="minorBidi"/>
          <w:b/>
          <w:sz w:val="32"/>
          <w:szCs w:val="32"/>
        </w:rPr>
      </w:pPr>
      <w:r>
        <w:rPr>
          <w:rFonts w:hint="eastAsia" w:ascii="楷体" w:hAnsi="楷体" w:eastAsia="楷体" w:cstheme="minorBidi"/>
          <w:b/>
          <w:sz w:val="32"/>
          <w:szCs w:val="32"/>
        </w:rPr>
        <w:t>（一）运维内容</w:t>
      </w:r>
    </w:p>
    <w:p>
      <w:pPr>
        <w:ind w:firstLine="643" w:firstLineChars="200"/>
        <w:rPr>
          <w:rFonts w:ascii="仿宋" w:hAnsi="仿宋" w:eastAsia="仿宋" w:cstheme="minorBidi"/>
          <w:b/>
          <w:bCs/>
          <w:sz w:val="32"/>
        </w:rPr>
      </w:pPr>
      <w:r>
        <w:rPr>
          <w:rFonts w:hint="eastAsia" w:ascii="仿宋" w:hAnsi="仿宋" w:eastAsia="仿宋" w:cstheme="minorBidi"/>
          <w:b/>
          <w:bCs/>
          <w:sz w:val="32"/>
        </w:rPr>
        <w:t>1.</w:t>
      </w:r>
      <w:r>
        <w:rPr>
          <w:rFonts w:hint="eastAsia" w:ascii="仿宋" w:hAnsi="仿宋" w:eastAsia="仿宋" w:cs="仿宋"/>
          <w:b/>
          <w:bCs/>
          <w:sz w:val="32"/>
          <w:szCs w:val="32"/>
        </w:rPr>
        <w:t>业务系统</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系统巡检：</w:t>
      </w:r>
    </w:p>
    <w:p>
      <w:pPr>
        <w:ind w:firstLine="640" w:firstLineChars="200"/>
        <w:rPr>
          <w:rFonts w:ascii="仿宋" w:hAnsi="仿宋" w:eastAsia="仿宋" w:cs="仿宋"/>
          <w:sz w:val="32"/>
          <w:szCs w:val="32"/>
        </w:rPr>
      </w:pPr>
      <w:r>
        <w:rPr>
          <w:rFonts w:hint="eastAsia" w:ascii="仿宋" w:hAnsi="仿宋" w:eastAsia="仿宋" w:cs="仿宋"/>
          <w:sz w:val="32"/>
          <w:szCs w:val="32"/>
        </w:rPr>
        <w:t>每周对</w:t>
      </w:r>
      <w:r>
        <w:rPr>
          <w:rFonts w:hint="eastAsia" w:ascii="仿宋" w:hAnsi="仿宋" w:eastAsia="仿宋" w:cs="楷体"/>
          <w:sz w:val="32"/>
          <w:szCs w:val="32"/>
        </w:rPr>
        <w:t>政务中心机房</w:t>
      </w:r>
      <w:r>
        <w:rPr>
          <w:rFonts w:hint="eastAsia" w:ascii="仿宋" w:hAnsi="仿宋" w:eastAsia="仿宋" w:cs="仿宋"/>
          <w:sz w:val="32"/>
          <w:szCs w:val="32"/>
        </w:rPr>
        <w:t>的系统进行巡检，检查是否正常运行。</w:t>
      </w:r>
    </w:p>
    <w:p>
      <w:pPr>
        <w:pStyle w:val="17"/>
        <w:numPr>
          <w:ilvl w:val="0"/>
          <w:numId w:val="1"/>
        </w:numPr>
        <w:ind w:firstLineChars="0"/>
        <w:rPr>
          <w:rFonts w:ascii="仿宋" w:hAnsi="仿宋" w:eastAsia="仿宋" w:cs="仿宋"/>
          <w:sz w:val="32"/>
          <w:szCs w:val="32"/>
        </w:rPr>
      </w:pPr>
      <w:r>
        <w:rPr>
          <w:rFonts w:hint="eastAsia" w:ascii="仿宋" w:hAnsi="仿宋" w:eastAsia="仿宋" w:cs="仿宋"/>
          <w:sz w:val="32"/>
          <w:szCs w:val="32"/>
        </w:rPr>
        <w:t>巡检数据的收集、统计和分析。</w:t>
      </w:r>
    </w:p>
    <w:p>
      <w:pPr>
        <w:pStyle w:val="17"/>
        <w:numPr>
          <w:ilvl w:val="0"/>
          <w:numId w:val="1"/>
        </w:numPr>
        <w:ind w:firstLineChars="0"/>
        <w:rPr>
          <w:rFonts w:ascii="仿宋" w:hAnsi="仿宋" w:eastAsia="仿宋" w:cs="仿宋"/>
          <w:sz w:val="32"/>
          <w:szCs w:val="32"/>
        </w:rPr>
      </w:pPr>
      <w:r>
        <w:rPr>
          <w:rFonts w:hint="eastAsia" w:ascii="仿宋" w:hAnsi="仿宋" w:eastAsia="仿宋" w:cs="仿宋"/>
          <w:sz w:val="32"/>
          <w:szCs w:val="32"/>
        </w:rPr>
        <w:t>每月提交机房巡检统计记录。</w:t>
      </w:r>
    </w:p>
    <w:p>
      <w:pPr>
        <w:pStyle w:val="17"/>
        <w:numPr>
          <w:ilvl w:val="0"/>
          <w:numId w:val="1"/>
        </w:numPr>
        <w:ind w:firstLineChars="0"/>
        <w:rPr>
          <w:rFonts w:ascii="仿宋" w:hAnsi="仿宋" w:eastAsia="仿宋" w:cs="仿宋"/>
          <w:sz w:val="32"/>
          <w:szCs w:val="32"/>
        </w:rPr>
      </w:pPr>
      <w:r>
        <w:rPr>
          <w:rFonts w:hint="eastAsia" w:ascii="仿宋" w:hAnsi="仿宋" w:eastAsia="仿宋" w:cs="仿宋"/>
          <w:sz w:val="32"/>
          <w:szCs w:val="32"/>
        </w:rPr>
        <w:t>制定机房的巡检制度、巡检表格、数据上报时间和要求。</w:t>
      </w:r>
    </w:p>
    <w:p>
      <w:pPr>
        <w:pStyle w:val="17"/>
        <w:numPr>
          <w:ilvl w:val="0"/>
          <w:numId w:val="1"/>
        </w:numPr>
        <w:ind w:left="0" w:firstLine="640"/>
        <w:rPr>
          <w:rFonts w:ascii="仿宋" w:hAnsi="仿宋" w:eastAsia="仿宋" w:cs="仿宋"/>
          <w:sz w:val="32"/>
          <w:szCs w:val="32"/>
        </w:rPr>
      </w:pPr>
      <w:r>
        <w:rPr>
          <w:rFonts w:hint="eastAsia" w:ascii="仿宋" w:hAnsi="仿宋" w:eastAsia="仿宋" w:cs="仿宋"/>
          <w:sz w:val="32"/>
          <w:szCs w:val="32"/>
        </w:rPr>
        <w:t>按网络安全十三个不准进行对标巡检，及时发现问题并解决问题。</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日常维护：</w:t>
      </w:r>
    </w:p>
    <w:p>
      <w:pPr>
        <w:ind w:firstLine="640" w:firstLineChars="200"/>
        <w:rPr>
          <w:rFonts w:ascii="仿宋" w:hAnsi="仿宋" w:eastAsia="仿宋" w:cs="仿宋"/>
          <w:sz w:val="32"/>
          <w:szCs w:val="32"/>
        </w:rPr>
      </w:pPr>
      <w:r>
        <w:rPr>
          <w:rFonts w:hint="eastAsia" w:ascii="仿宋" w:hAnsi="仿宋" w:eastAsia="仿宋" w:cs="仿宋"/>
          <w:sz w:val="32"/>
          <w:szCs w:val="32"/>
        </w:rPr>
        <w:t>对政务机房内运维的</w:t>
      </w:r>
      <w:r>
        <w:rPr>
          <w:rFonts w:hint="eastAsia" w:ascii="仿宋" w:hAnsi="仿宋" w:eastAsia="仿宋" w:cs="仿宋"/>
          <w:b/>
          <w:bCs/>
          <w:sz w:val="32"/>
          <w:szCs w:val="32"/>
        </w:rPr>
        <w:t>10</w:t>
      </w:r>
      <w:r>
        <w:rPr>
          <w:rFonts w:hint="eastAsia" w:ascii="仿宋" w:hAnsi="仿宋" w:eastAsia="仿宋" w:cs="仿宋"/>
          <w:sz w:val="32"/>
          <w:szCs w:val="32"/>
        </w:rPr>
        <w:t>个业务系统进行定期隐患排查以及故障处理等。负责协调厂家进行系统升级和上线测试，负责提出系统的安全防护需求。建立自动化工单管理流程，通过电子工单进行维护派单，处理过程跟踪，以及对维护质量进行总结分析，对维护人员绩效进行考核评价。</w:t>
      </w:r>
    </w:p>
    <w:tbl>
      <w:tblPr>
        <w:tblStyle w:val="11"/>
        <w:tblW w:w="6160" w:type="dxa"/>
        <w:jc w:val="center"/>
        <w:tblLayout w:type="autofit"/>
        <w:tblCellMar>
          <w:top w:w="0" w:type="dxa"/>
          <w:left w:w="108" w:type="dxa"/>
          <w:bottom w:w="0" w:type="dxa"/>
          <w:right w:w="108" w:type="dxa"/>
        </w:tblCellMar>
      </w:tblPr>
      <w:tblGrid>
        <w:gridCol w:w="1320"/>
        <w:gridCol w:w="4840"/>
      </w:tblGrid>
      <w:tr>
        <w:tblPrEx>
          <w:tblCellMar>
            <w:top w:w="0" w:type="dxa"/>
            <w:left w:w="108" w:type="dxa"/>
            <w:bottom w:w="0" w:type="dxa"/>
            <w:right w:w="108" w:type="dxa"/>
          </w:tblCellMar>
        </w:tblPrEx>
        <w:trPr>
          <w:trHeight w:val="90" w:hRule="atLeast"/>
          <w:jc w:val="center"/>
        </w:trPr>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482" w:firstLineChars="200"/>
              <w:rPr>
                <w:rFonts w:ascii="仿宋" w:hAnsi="仿宋" w:eastAsia="仿宋" w:cs="仿宋"/>
                <w:b/>
                <w:bCs/>
                <w:sz w:val="24"/>
                <w:szCs w:val="24"/>
              </w:rPr>
            </w:pPr>
            <w:r>
              <w:rPr>
                <w:rFonts w:hint="eastAsia" w:ascii="仿宋" w:hAnsi="仿宋" w:eastAsia="仿宋" w:cs="仿宋"/>
                <w:b/>
                <w:bCs/>
                <w:sz w:val="24"/>
                <w:szCs w:val="24"/>
              </w:rPr>
              <w:t>序号</w:t>
            </w:r>
          </w:p>
        </w:tc>
        <w:tc>
          <w:tcPr>
            <w:tcW w:w="4840"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482" w:firstLineChars="200"/>
              <w:rPr>
                <w:rFonts w:ascii="仿宋" w:hAnsi="仿宋" w:eastAsia="仿宋" w:cs="仿宋"/>
                <w:b/>
                <w:bCs/>
                <w:sz w:val="24"/>
                <w:szCs w:val="24"/>
              </w:rPr>
            </w:pPr>
            <w:r>
              <w:rPr>
                <w:rFonts w:hint="eastAsia" w:ascii="仿宋" w:hAnsi="仿宋" w:eastAsia="仿宋" w:cs="仿宋"/>
                <w:b/>
                <w:bCs/>
                <w:sz w:val="24"/>
                <w:szCs w:val="24"/>
              </w:rPr>
              <w:t>系统名称</w:t>
            </w:r>
          </w:p>
        </w:tc>
      </w:tr>
      <w:tr>
        <w:tblPrEx>
          <w:tblCellMar>
            <w:top w:w="0" w:type="dxa"/>
            <w:left w:w="108" w:type="dxa"/>
            <w:bottom w:w="0" w:type="dxa"/>
            <w:right w:w="108" w:type="dxa"/>
          </w:tblCellMar>
        </w:tblPrEx>
        <w:trPr>
          <w:trHeight w:val="270" w:hRule="atLeast"/>
          <w:jc w:val="center"/>
        </w:trPr>
        <w:tc>
          <w:tcPr>
            <w:tcW w:w="1320"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1</w:t>
            </w: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恩平市政务交流平台</w:t>
            </w:r>
          </w:p>
        </w:tc>
      </w:tr>
      <w:tr>
        <w:tblPrEx>
          <w:tblCellMar>
            <w:top w:w="0" w:type="dxa"/>
            <w:left w:w="108" w:type="dxa"/>
            <w:bottom w:w="0" w:type="dxa"/>
            <w:right w:w="108" w:type="dxa"/>
          </w:tblCellMar>
        </w:tblPrEx>
        <w:trPr>
          <w:trHeight w:val="270" w:hRule="atLeast"/>
          <w:jc w:val="center"/>
        </w:trPr>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2</w:t>
            </w: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恩平市电子公文交换系统</w:t>
            </w:r>
          </w:p>
        </w:tc>
      </w:tr>
      <w:tr>
        <w:tblPrEx>
          <w:tblCellMar>
            <w:top w:w="0" w:type="dxa"/>
            <w:left w:w="108" w:type="dxa"/>
            <w:bottom w:w="0" w:type="dxa"/>
            <w:right w:w="108" w:type="dxa"/>
          </w:tblCellMar>
        </w:tblPrEx>
        <w:trPr>
          <w:trHeight w:val="270" w:hRule="atLeast"/>
          <w:jc w:val="center"/>
        </w:trPr>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3</w:t>
            </w: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恩平市涉税信息交换与共享平台</w:t>
            </w:r>
          </w:p>
        </w:tc>
      </w:tr>
      <w:tr>
        <w:tblPrEx>
          <w:tblCellMar>
            <w:top w:w="0" w:type="dxa"/>
            <w:left w:w="108" w:type="dxa"/>
            <w:bottom w:w="0" w:type="dxa"/>
            <w:right w:w="108" w:type="dxa"/>
          </w:tblCellMar>
        </w:tblPrEx>
        <w:trPr>
          <w:trHeight w:val="270" w:hRule="atLeast"/>
          <w:jc w:val="center"/>
        </w:trPr>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4</w:t>
            </w: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恩平市依申请公开系统</w:t>
            </w:r>
          </w:p>
        </w:tc>
      </w:tr>
      <w:tr>
        <w:tblPrEx>
          <w:tblCellMar>
            <w:top w:w="0" w:type="dxa"/>
            <w:left w:w="108" w:type="dxa"/>
            <w:bottom w:w="0" w:type="dxa"/>
            <w:right w:w="108" w:type="dxa"/>
          </w:tblCellMar>
        </w:tblPrEx>
        <w:trPr>
          <w:trHeight w:val="270" w:hRule="atLeast"/>
          <w:jc w:val="center"/>
        </w:trPr>
        <w:tc>
          <w:tcPr>
            <w:tcW w:w="1320"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5</w:t>
            </w: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恩平市电视台音频直播系统</w:t>
            </w:r>
          </w:p>
        </w:tc>
      </w:tr>
      <w:tr>
        <w:tblPrEx>
          <w:tblCellMar>
            <w:top w:w="0" w:type="dxa"/>
            <w:left w:w="108" w:type="dxa"/>
            <w:bottom w:w="0" w:type="dxa"/>
            <w:right w:w="108" w:type="dxa"/>
          </w:tblCellMar>
        </w:tblPrEx>
        <w:trPr>
          <w:trHeight w:val="270" w:hRule="atLeast"/>
          <w:jc w:val="center"/>
        </w:trPr>
        <w:tc>
          <w:tcPr>
            <w:tcW w:w="1320"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6</w:t>
            </w: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恩平市农村三资管理平台</w:t>
            </w:r>
          </w:p>
        </w:tc>
      </w:tr>
      <w:tr>
        <w:tblPrEx>
          <w:tblCellMar>
            <w:top w:w="0" w:type="dxa"/>
            <w:left w:w="108" w:type="dxa"/>
            <w:bottom w:w="0" w:type="dxa"/>
            <w:right w:w="108" w:type="dxa"/>
          </w:tblCellMar>
        </w:tblPrEx>
        <w:trPr>
          <w:trHeight w:val="270" w:hRule="atLeast"/>
          <w:jc w:val="center"/>
        </w:trPr>
        <w:tc>
          <w:tcPr>
            <w:tcW w:w="1320"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7</w:t>
            </w: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信用恩平网</w:t>
            </w:r>
          </w:p>
        </w:tc>
      </w:tr>
      <w:tr>
        <w:tblPrEx>
          <w:tblCellMar>
            <w:top w:w="0" w:type="dxa"/>
            <w:left w:w="108" w:type="dxa"/>
            <w:bottom w:w="0" w:type="dxa"/>
            <w:right w:w="108" w:type="dxa"/>
          </w:tblCellMar>
        </w:tblPrEx>
        <w:trPr>
          <w:trHeight w:val="270" w:hRule="atLeast"/>
          <w:jc w:val="center"/>
        </w:trPr>
        <w:tc>
          <w:tcPr>
            <w:tcW w:w="1320"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8</w:t>
            </w: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恩平市政府网站群</w:t>
            </w:r>
          </w:p>
        </w:tc>
      </w:tr>
      <w:tr>
        <w:tblPrEx>
          <w:tblCellMar>
            <w:top w:w="0" w:type="dxa"/>
            <w:left w:w="108" w:type="dxa"/>
            <w:bottom w:w="0" w:type="dxa"/>
            <w:right w:w="108" w:type="dxa"/>
          </w:tblCellMar>
        </w:tblPrEx>
        <w:trPr>
          <w:trHeight w:val="270" w:hRule="atLeast"/>
          <w:jc w:val="center"/>
        </w:trPr>
        <w:tc>
          <w:tcPr>
            <w:tcW w:w="1320"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9</w:t>
            </w: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恩平农户征信管理系统</w:t>
            </w:r>
          </w:p>
        </w:tc>
      </w:tr>
      <w:tr>
        <w:tblPrEx>
          <w:tblCellMar>
            <w:top w:w="0" w:type="dxa"/>
            <w:left w:w="108" w:type="dxa"/>
            <w:bottom w:w="0" w:type="dxa"/>
            <w:right w:w="108" w:type="dxa"/>
          </w:tblCellMar>
        </w:tblPrEx>
        <w:trPr>
          <w:trHeight w:val="270" w:hRule="atLeast"/>
          <w:jc w:val="center"/>
        </w:trPr>
        <w:tc>
          <w:tcPr>
            <w:tcW w:w="1320"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10</w:t>
            </w: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恩平市企业信用信息综合管理系统</w:t>
            </w:r>
          </w:p>
        </w:tc>
      </w:tr>
    </w:tbl>
    <w:p>
      <w:pPr>
        <w:ind w:firstLine="640" w:firstLineChars="200"/>
        <w:rPr>
          <w:rFonts w:ascii="仿宋" w:hAnsi="仿宋" w:eastAsia="仿宋" w:cs="仿宋"/>
          <w:sz w:val="32"/>
          <w:szCs w:val="32"/>
        </w:rPr>
      </w:pPr>
    </w:p>
    <w:p>
      <w:pPr>
        <w:ind w:firstLine="643" w:firstLineChars="200"/>
        <w:rPr>
          <w:rFonts w:ascii="仿宋" w:hAnsi="仿宋" w:eastAsia="仿宋" w:cs="仿宋"/>
          <w:b/>
          <w:bCs/>
          <w:sz w:val="32"/>
          <w:szCs w:val="32"/>
        </w:rPr>
      </w:pPr>
      <w:r>
        <w:rPr>
          <w:rFonts w:ascii="仿宋" w:hAnsi="仿宋" w:eastAsia="仿宋" w:cs="仿宋"/>
          <w:b/>
          <w:bCs/>
          <w:sz w:val="32"/>
          <w:szCs w:val="32"/>
        </w:rPr>
        <w:t>2</w:t>
      </w:r>
      <w:r>
        <w:rPr>
          <w:rFonts w:hint="eastAsia" w:ascii="仿宋" w:hAnsi="仿宋" w:eastAsia="仿宋" w:cs="仿宋"/>
          <w:b/>
          <w:bCs/>
          <w:sz w:val="32"/>
          <w:szCs w:val="32"/>
        </w:rPr>
        <w:t>.硬件设备</w:t>
      </w:r>
    </w:p>
    <w:p>
      <w:pPr>
        <w:ind w:firstLine="643" w:firstLineChars="200"/>
        <w:rPr>
          <w:rFonts w:ascii="仿宋" w:hAnsi="仿宋" w:eastAsia="仿宋" w:cstheme="minorBidi"/>
          <w:b/>
          <w:bCs/>
          <w:sz w:val="32"/>
          <w:szCs w:val="32"/>
        </w:rPr>
      </w:pPr>
      <w:r>
        <w:rPr>
          <w:rFonts w:hint="eastAsia" w:ascii="仿宋" w:hAnsi="仿宋" w:eastAsia="仿宋" w:cs="仿宋"/>
          <w:b/>
          <w:bCs/>
          <w:sz w:val="32"/>
          <w:szCs w:val="32"/>
        </w:rPr>
        <w:t>台账管理：</w:t>
      </w:r>
    </w:p>
    <w:p>
      <w:pPr>
        <w:ind w:firstLine="648"/>
        <w:rPr>
          <w:rFonts w:ascii="仿宋" w:hAnsi="仿宋" w:eastAsia="仿宋" w:cs="仿宋"/>
          <w:sz w:val="32"/>
          <w:szCs w:val="32"/>
        </w:rPr>
      </w:pPr>
      <w:r>
        <w:rPr>
          <w:rFonts w:hint="eastAsia" w:ascii="仿宋" w:hAnsi="仿宋" w:eastAsia="仿宋" w:cs="仿宋"/>
          <w:sz w:val="32"/>
          <w:szCs w:val="32"/>
        </w:rPr>
        <w:t>对</w:t>
      </w:r>
      <w:r>
        <w:rPr>
          <w:rFonts w:hint="eastAsia" w:ascii="仿宋" w:hAnsi="仿宋" w:eastAsia="仿宋" w:cs="楷体"/>
          <w:sz w:val="32"/>
          <w:szCs w:val="32"/>
        </w:rPr>
        <w:t>政务中心机房</w:t>
      </w:r>
      <w:r>
        <w:rPr>
          <w:rFonts w:hint="eastAsia" w:ascii="仿宋" w:hAnsi="仿宋" w:eastAsia="仿宋" w:cs="仿宋"/>
          <w:sz w:val="32"/>
          <w:szCs w:val="32"/>
        </w:rPr>
        <w:t>的设备进行资产登记、系统录入、工单管理等。负责每月清查并更新台账。负责设备的新增上线和报废退出管理。硬件设备包括网络设备、安全设备、主机设备、存储设备等。</w:t>
      </w:r>
    </w:p>
    <w:p>
      <w:pPr>
        <w:ind w:firstLine="648"/>
        <w:rPr>
          <w:rFonts w:ascii="仿宋" w:hAnsi="仿宋" w:eastAsia="仿宋" w:cs="仿宋"/>
          <w:b/>
          <w:bCs/>
          <w:sz w:val="32"/>
          <w:szCs w:val="32"/>
        </w:rPr>
      </w:pPr>
      <w:r>
        <w:rPr>
          <w:rFonts w:hint="eastAsia" w:ascii="仿宋" w:hAnsi="仿宋" w:eastAsia="仿宋" w:cstheme="minorBidi"/>
          <w:b/>
          <w:bCs/>
          <w:sz w:val="32"/>
          <w:szCs w:val="32"/>
        </w:rPr>
        <w:t>故障处理：</w:t>
      </w:r>
    </w:p>
    <w:p>
      <w:pPr>
        <w:ind w:firstLine="640" w:firstLineChars="200"/>
        <w:rPr>
          <w:rFonts w:ascii="仿宋" w:hAnsi="仿宋" w:eastAsia="仿宋" w:cs="仿宋"/>
          <w:sz w:val="32"/>
          <w:szCs w:val="32"/>
        </w:rPr>
      </w:pPr>
      <w:r>
        <w:rPr>
          <w:rFonts w:hint="eastAsia" w:ascii="仿宋" w:hAnsi="仿宋" w:eastAsia="仿宋" w:cs="仿宋"/>
          <w:sz w:val="32"/>
          <w:szCs w:val="32"/>
        </w:rPr>
        <w:t>对机房内交换机、路由器、服务器、防火墙及存储等约60台设备进行硬件维修和输出运维分析报告等专业性维护。负责交换、数据、传输和关联业务的随工工作。保持设备、机房环境的清洁。负责MDF架的维护管理工作。</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3.网络维护</w:t>
      </w:r>
    </w:p>
    <w:p>
      <w:pPr>
        <w:ind w:firstLine="640" w:firstLineChars="200"/>
        <w:rPr>
          <w:rFonts w:ascii="仿宋" w:hAnsi="仿宋" w:eastAsia="仿宋" w:cs="仿宋"/>
          <w:sz w:val="32"/>
          <w:szCs w:val="32"/>
        </w:rPr>
      </w:pPr>
      <w:r>
        <w:rPr>
          <w:rFonts w:hint="eastAsia" w:ascii="仿宋" w:hAnsi="仿宋" w:eastAsia="仿宋" w:cs="仿宋"/>
          <w:sz w:val="32"/>
          <w:szCs w:val="32"/>
        </w:rPr>
        <w:t>对</w:t>
      </w:r>
      <w:r>
        <w:rPr>
          <w:rFonts w:hint="eastAsia" w:ascii="仿宋" w:hAnsi="仿宋" w:eastAsia="仿宋" w:cs="楷体"/>
          <w:sz w:val="32"/>
          <w:szCs w:val="32"/>
        </w:rPr>
        <w:t>政务中心机房</w:t>
      </w:r>
      <w:r>
        <w:rPr>
          <w:rFonts w:hint="eastAsia" w:ascii="仿宋" w:hAnsi="仿宋" w:eastAsia="仿宋" w:cs="仿宋"/>
          <w:sz w:val="32"/>
          <w:szCs w:val="32"/>
        </w:rPr>
        <w:t>内网络线路进行日常监控、流量分析及故障处理配合。协调运营商做好施工随工管理工作。建立供应商的绩效评估方案，并定期对供应商进行绩效评估。应设立供应商管理文档，记录所有供应商的联系方式、服务承诺（SLA）、工作范围、针对设施的培训和认证情况等信息，进行通信保障。</w:t>
      </w:r>
    </w:p>
    <w:p>
      <w:pPr>
        <w:numPr>
          <w:ilvl w:val="255"/>
          <w:numId w:val="0"/>
        </w:numPr>
        <w:ind w:firstLine="643" w:firstLineChars="200"/>
        <w:rPr>
          <w:rFonts w:ascii="仿宋" w:hAnsi="仿宋" w:eastAsia="仿宋" w:cs="仿宋"/>
          <w:b/>
          <w:bCs/>
          <w:sz w:val="32"/>
          <w:szCs w:val="32"/>
        </w:rPr>
      </w:pPr>
      <w:r>
        <w:rPr>
          <w:rFonts w:hint="eastAsia" w:ascii="仿宋" w:hAnsi="仿宋" w:eastAsia="仿宋" w:cs="仿宋"/>
          <w:b/>
          <w:bCs/>
          <w:sz w:val="32"/>
          <w:szCs w:val="32"/>
        </w:rPr>
        <w:t>4.动力环境</w:t>
      </w:r>
    </w:p>
    <w:p>
      <w:pPr>
        <w:ind w:firstLine="643" w:firstLineChars="200"/>
        <w:rPr>
          <w:rFonts w:ascii="楷体" w:hAnsi="楷体" w:eastAsia="楷体" w:cstheme="minorBidi"/>
          <w:b/>
          <w:sz w:val="32"/>
          <w:szCs w:val="32"/>
        </w:rPr>
      </w:pPr>
      <w:r>
        <w:rPr>
          <w:rFonts w:hint="eastAsia" w:ascii="仿宋" w:hAnsi="仿宋" w:eastAsia="仿宋" w:cstheme="minorBidi"/>
          <w:b/>
          <w:sz w:val="32"/>
          <w:szCs w:val="32"/>
        </w:rPr>
        <w:t>动力</w:t>
      </w:r>
      <w:r>
        <w:rPr>
          <w:rFonts w:ascii="仿宋" w:hAnsi="仿宋" w:eastAsia="仿宋" w:cstheme="minorBidi"/>
          <w:b/>
          <w:sz w:val="32"/>
          <w:szCs w:val="32"/>
        </w:rPr>
        <w:t>：</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对</w:t>
      </w:r>
      <w:r>
        <w:rPr>
          <w:rFonts w:hint="eastAsia" w:ascii="仿宋" w:hAnsi="仿宋" w:eastAsia="仿宋" w:cs="楷体"/>
          <w:sz w:val="32"/>
          <w:szCs w:val="32"/>
        </w:rPr>
        <w:t>政务中心机房</w:t>
      </w:r>
      <w:r>
        <w:rPr>
          <w:rFonts w:hint="eastAsia" w:ascii="仿宋" w:hAnsi="仿宋" w:eastAsia="仿宋" w:cs="仿宋"/>
          <w:sz w:val="32"/>
          <w:szCs w:val="32"/>
        </w:rPr>
        <w:t>内2台UPS设备进行日常监控、隐患排查及故障处理。每月对UPS系统进行巡查和基本测试，及时发现并记录故障或故障隐患，对于现场能够处理的故障现场解决，否则将故障上报。对UPS的内部电气参数进行测试，以判断UPS的性能是否恶化。因内部参数的恶化最终会导致UPS外部性能的恶化。对UPS系统的功能进行全面测试并记录，检查各项功能是否正常。对UPS系统的参数设置进行核对，修改不正确的参数设置，使UPS系统工作在最佳状态，发挥更有效的作用，同时延长使用寿命。每月对全市2个政务机房进行UPS设备巡检。</w:t>
      </w:r>
    </w:p>
    <w:p>
      <w:pPr>
        <w:ind w:firstLine="643" w:firstLineChars="200"/>
        <w:rPr>
          <w:rFonts w:ascii="仿宋" w:hAnsi="仿宋" w:eastAsia="仿宋" w:cs="仿宋"/>
          <w:b/>
          <w:sz w:val="32"/>
          <w:szCs w:val="32"/>
        </w:rPr>
      </w:pPr>
      <w:r>
        <w:rPr>
          <w:rFonts w:ascii="仿宋" w:hAnsi="仿宋" w:eastAsia="仿宋" w:cstheme="minorBidi"/>
          <w:b/>
          <w:sz w:val="32"/>
          <w:szCs w:val="32"/>
        </w:rPr>
        <w:t>制冷：</w:t>
      </w:r>
    </w:p>
    <w:p>
      <w:pPr>
        <w:ind w:firstLine="640" w:firstLineChars="200"/>
        <w:rPr>
          <w:rFonts w:ascii="仿宋" w:hAnsi="仿宋" w:eastAsia="仿宋" w:cs="仿宋"/>
          <w:sz w:val="32"/>
          <w:szCs w:val="32"/>
        </w:rPr>
      </w:pPr>
      <w:r>
        <w:rPr>
          <w:rFonts w:hint="eastAsia" w:ascii="仿宋" w:hAnsi="仿宋" w:eastAsia="仿宋" w:cs="仿宋"/>
          <w:sz w:val="32"/>
          <w:szCs w:val="32"/>
        </w:rPr>
        <w:t>每月对</w:t>
      </w:r>
      <w:r>
        <w:rPr>
          <w:rFonts w:hint="eastAsia" w:ascii="仿宋" w:hAnsi="仿宋" w:eastAsia="仿宋" w:cs="楷体"/>
          <w:sz w:val="32"/>
          <w:szCs w:val="32"/>
        </w:rPr>
        <w:t>政务中心机房</w:t>
      </w:r>
      <w:r>
        <w:rPr>
          <w:rFonts w:hint="eastAsia" w:ascii="仿宋" w:hAnsi="仿宋" w:eastAsia="仿宋" w:cs="仿宋"/>
          <w:sz w:val="32"/>
          <w:szCs w:val="32"/>
        </w:rPr>
        <w:t>的2台空调和科工商机房3台精密空调进行日常监控、隐患排查及故障处理。服务项目包括：检查控制器程序菜单设置、压机、风机、加热器、冷凝器、制冷循环管路、过滤网、加湿器和供排水管路及电器系统等部份的运行情况。排除发现的故障,更换损坏的配件。调整控制器程序，调整系统运行压力，清洁空气过滤网、冷凝器、加湿器等设备。每月对全市2个政务机房进行空调设备巡检。</w:t>
      </w:r>
    </w:p>
    <w:p>
      <w:pPr>
        <w:ind w:firstLine="643" w:firstLineChars="200"/>
        <w:rPr>
          <w:rFonts w:ascii="仿宋" w:hAnsi="仿宋" w:eastAsia="仿宋" w:cs="仿宋"/>
          <w:b/>
          <w:sz w:val="32"/>
          <w:szCs w:val="32"/>
        </w:rPr>
      </w:pPr>
      <w:r>
        <w:rPr>
          <w:rFonts w:ascii="仿宋" w:hAnsi="仿宋" w:eastAsia="仿宋" w:cstheme="minorBidi"/>
          <w:b/>
          <w:sz w:val="32"/>
          <w:szCs w:val="32"/>
        </w:rPr>
        <w:t>环境监控：</w:t>
      </w:r>
    </w:p>
    <w:p>
      <w:pPr>
        <w:ind w:firstLine="640" w:firstLineChars="200"/>
        <w:rPr>
          <w:rFonts w:ascii="仿宋" w:hAnsi="仿宋" w:eastAsia="仿宋" w:cs="仿宋"/>
          <w:sz w:val="32"/>
          <w:szCs w:val="32"/>
        </w:rPr>
      </w:pPr>
      <w:r>
        <w:rPr>
          <w:rFonts w:hint="eastAsia" w:ascii="仿宋" w:hAnsi="仿宋" w:eastAsia="仿宋" w:cs="仿宋"/>
          <w:sz w:val="32"/>
          <w:szCs w:val="32"/>
        </w:rPr>
        <w:t>每周对2个</w:t>
      </w:r>
      <w:r>
        <w:rPr>
          <w:rFonts w:hint="eastAsia" w:ascii="仿宋" w:hAnsi="仿宋" w:eastAsia="仿宋" w:cs="楷体"/>
          <w:sz w:val="32"/>
          <w:szCs w:val="32"/>
        </w:rPr>
        <w:t>政务机房</w:t>
      </w:r>
      <w:r>
        <w:rPr>
          <w:rFonts w:hint="eastAsia" w:ascii="仿宋" w:hAnsi="仿宋" w:eastAsia="仿宋" w:cs="仿宋"/>
          <w:sz w:val="32"/>
          <w:szCs w:val="32"/>
        </w:rPr>
        <w:t>的环境监控设备进行巡检等。</w:t>
      </w:r>
    </w:p>
    <w:p>
      <w:pPr>
        <w:numPr>
          <w:ilvl w:val="255"/>
          <w:numId w:val="0"/>
        </w:numPr>
        <w:ind w:left="632"/>
        <w:rPr>
          <w:rFonts w:ascii="仿宋" w:hAnsi="仿宋" w:eastAsia="仿宋" w:cs="仿宋"/>
          <w:b/>
          <w:bCs/>
          <w:sz w:val="32"/>
          <w:szCs w:val="32"/>
        </w:rPr>
      </w:pPr>
      <w:r>
        <w:rPr>
          <w:rFonts w:hint="eastAsia" w:ascii="仿宋" w:hAnsi="仿宋" w:eastAsia="仿宋" w:cs="仿宋"/>
          <w:b/>
          <w:bCs/>
          <w:sz w:val="32"/>
          <w:szCs w:val="32"/>
        </w:rPr>
        <w:t>5.机房撤并</w:t>
      </w:r>
    </w:p>
    <w:p>
      <w:pPr>
        <w:ind w:firstLine="640" w:firstLineChars="200"/>
        <w:rPr>
          <w:rFonts w:ascii="仿宋" w:hAnsi="仿宋" w:eastAsia="仿宋" w:cs="仿宋"/>
          <w:sz w:val="32"/>
          <w:szCs w:val="32"/>
        </w:rPr>
      </w:pPr>
      <w:r>
        <w:rPr>
          <w:rFonts w:hint="eastAsia" w:ascii="仿宋" w:hAnsi="仿宋" w:eastAsia="仿宋" w:cs="仿宋"/>
          <w:sz w:val="32"/>
          <w:szCs w:val="32"/>
        </w:rPr>
        <w:t>调研政务机房需要迁移的系统以及需要搬迁的设备，形成系统和设备清单，详细登记相关参数信息存档，制定机房搬迁计划和后续维护方案，准备迁入机房的环境、动力、服务器等需求并制定实施方案，做好机房撤并评估及工作计划。</w:t>
      </w:r>
    </w:p>
    <w:p>
      <w:pPr>
        <w:numPr>
          <w:ilvl w:val="255"/>
          <w:numId w:val="0"/>
        </w:numPr>
        <w:ind w:left="632"/>
        <w:rPr>
          <w:rFonts w:ascii="仿宋" w:hAnsi="仿宋" w:eastAsia="仿宋" w:cs="仿宋"/>
          <w:b/>
          <w:bCs/>
          <w:sz w:val="32"/>
          <w:szCs w:val="32"/>
        </w:rPr>
      </w:pPr>
      <w:r>
        <w:rPr>
          <w:rFonts w:hint="eastAsia" w:ascii="仿宋" w:hAnsi="仿宋" w:eastAsia="仿宋" w:cs="仿宋"/>
          <w:b/>
          <w:bCs/>
          <w:sz w:val="32"/>
          <w:szCs w:val="32"/>
        </w:rPr>
        <w:t>6.安全防护</w:t>
      </w:r>
    </w:p>
    <w:p>
      <w:pPr>
        <w:numPr>
          <w:ilvl w:val="255"/>
          <w:numId w:val="0"/>
        </w:numPr>
        <w:ind w:firstLine="640" w:firstLineChars="200"/>
        <w:rPr>
          <w:rFonts w:ascii="仿宋" w:hAnsi="仿宋" w:eastAsia="仿宋" w:cs="仿宋"/>
          <w:sz w:val="32"/>
          <w:szCs w:val="32"/>
        </w:rPr>
      </w:pPr>
      <w:r>
        <w:rPr>
          <w:rFonts w:hint="eastAsia" w:ascii="仿宋" w:hAnsi="仿宋" w:eastAsia="仿宋" w:cs="仿宋"/>
          <w:sz w:val="32"/>
          <w:szCs w:val="32"/>
        </w:rPr>
        <w:t>每月检查政务中心机房的应用防火墙、流控、IPS等安全设备的运行状态，对终端、服务器进行安全扫描及补丁装载，及时处理安全隐患。</w:t>
      </w:r>
    </w:p>
    <w:p>
      <w:pPr>
        <w:numPr>
          <w:ilvl w:val="255"/>
          <w:numId w:val="0"/>
        </w:numPr>
        <w:ind w:left="632"/>
        <w:rPr>
          <w:rFonts w:ascii="仿宋" w:hAnsi="仿宋" w:eastAsia="仿宋" w:cs="仿宋"/>
          <w:b/>
          <w:sz w:val="32"/>
          <w:szCs w:val="32"/>
        </w:rPr>
      </w:pPr>
      <w:r>
        <w:rPr>
          <w:rFonts w:hint="eastAsia" w:ascii="仿宋" w:hAnsi="仿宋" w:eastAsia="仿宋" w:cs="仿宋"/>
          <w:b/>
          <w:bCs/>
          <w:sz w:val="32"/>
          <w:szCs w:val="32"/>
        </w:rPr>
        <w:t>7.</w:t>
      </w:r>
      <w:r>
        <w:rPr>
          <w:rFonts w:hint="eastAsia" w:ascii="仿宋" w:hAnsi="仿宋" w:eastAsia="仿宋" w:cs="仿宋"/>
          <w:b/>
          <w:sz w:val="32"/>
          <w:szCs w:val="32"/>
        </w:rPr>
        <w:t>应急保障</w:t>
      </w:r>
    </w:p>
    <w:p>
      <w:pPr>
        <w:numPr>
          <w:ilvl w:val="255"/>
          <w:numId w:val="0"/>
        </w:numPr>
        <w:ind w:firstLine="640" w:firstLineChars="200"/>
        <w:rPr>
          <w:rFonts w:ascii="仿宋" w:hAnsi="仿宋" w:eastAsia="仿宋" w:cs="仿宋"/>
          <w:sz w:val="32"/>
          <w:szCs w:val="32"/>
        </w:rPr>
      </w:pPr>
      <w:r>
        <w:rPr>
          <w:rFonts w:hint="eastAsia" w:ascii="仿宋" w:hAnsi="仿宋" w:eastAsia="仿宋" w:cs="仿宋"/>
          <w:sz w:val="32"/>
          <w:szCs w:val="32"/>
        </w:rPr>
        <w:t>负责提供7×24小时专人应急服务热线，接到应急报障后，按照客户的安排，在发生重大事件、防风抗灾等期间，迅速派出应急队伍，安排专业工程师到机房现场随时响应。系统发生故障后,自报障时起算,驻点工程师15分钟内响应,根据实际情况,快速赶到现场进行维护。</w:t>
      </w:r>
    </w:p>
    <w:p>
      <w:pPr>
        <w:ind w:firstLine="643" w:firstLineChars="200"/>
        <w:rPr>
          <w:rFonts w:ascii="楷体" w:hAnsi="楷体" w:eastAsia="楷体" w:cstheme="minorBidi"/>
          <w:b/>
          <w:sz w:val="32"/>
          <w:szCs w:val="32"/>
        </w:rPr>
      </w:pPr>
      <w:r>
        <w:rPr>
          <w:rFonts w:hint="eastAsia" w:ascii="楷体" w:hAnsi="楷体" w:eastAsia="楷体" w:cstheme="minorBidi"/>
          <w:b/>
          <w:sz w:val="32"/>
          <w:szCs w:val="32"/>
        </w:rPr>
        <w:t>（三）机制保障</w:t>
      </w:r>
    </w:p>
    <w:p>
      <w:pPr>
        <w:ind w:firstLine="643" w:firstLineChars="200"/>
        <w:rPr>
          <w:rFonts w:ascii="仿宋" w:hAnsi="仿宋" w:eastAsia="仿宋" w:cstheme="minorBidi"/>
          <w:b/>
          <w:sz w:val="32"/>
          <w:szCs w:val="32"/>
        </w:rPr>
      </w:pPr>
      <w:r>
        <w:rPr>
          <w:rFonts w:ascii="仿宋" w:hAnsi="仿宋" w:eastAsia="仿宋" w:cstheme="minorBidi"/>
          <w:b/>
          <w:sz w:val="32"/>
          <w:szCs w:val="32"/>
        </w:rPr>
        <w:t>1</w:t>
      </w:r>
      <w:r>
        <w:rPr>
          <w:rFonts w:hint="eastAsia" w:ascii="仿宋" w:hAnsi="仿宋" w:eastAsia="仿宋" w:cstheme="minorBidi"/>
          <w:b/>
          <w:sz w:val="32"/>
          <w:szCs w:val="32"/>
        </w:rPr>
        <w:t>.工作制度</w:t>
      </w:r>
    </w:p>
    <w:p>
      <w:pPr>
        <w:ind w:firstLine="640" w:firstLineChars="200"/>
        <w:rPr>
          <w:rFonts w:ascii="仿宋" w:hAnsi="仿宋" w:eastAsia="仿宋" w:cs="仿宋"/>
          <w:sz w:val="32"/>
          <w:szCs w:val="32"/>
        </w:rPr>
      </w:pPr>
      <w:r>
        <w:rPr>
          <w:rFonts w:hint="eastAsia" w:ascii="仿宋" w:hAnsi="仿宋" w:eastAsia="仿宋" w:cs="仿宋"/>
          <w:bCs/>
          <w:sz w:val="32"/>
          <w:szCs w:val="32"/>
        </w:rPr>
        <w:t>恩平</w:t>
      </w:r>
      <w:r>
        <w:rPr>
          <w:rFonts w:hint="eastAsia" w:ascii="仿宋" w:hAnsi="仿宋" w:eastAsia="仿宋" w:cs="仿宋"/>
          <w:sz w:val="32"/>
          <w:szCs w:val="32"/>
        </w:rPr>
        <w:t>市电子政务机房的安全和稳定直接影响到全市电子政务网络平台与政务网站、系统的正常运行，为进一步做好电子政务机房的信息化管理工作，根据江门市电子政务管理规范制度（详见下表），</w:t>
      </w:r>
      <w:r>
        <w:rPr>
          <w:rFonts w:hint="eastAsia" w:ascii="仿宋" w:hAnsi="仿宋" w:eastAsia="仿宋" w:cs="仿宋"/>
          <w:bCs/>
          <w:sz w:val="32"/>
          <w:szCs w:val="32"/>
        </w:rPr>
        <w:t>编制恩平市电子政务管理规范制度，</w:t>
      </w:r>
      <w:r>
        <w:rPr>
          <w:rFonts w:hint="eastAsia" w:ascii="仿宋" w:hAnsi="仿宋" w:eastAsia="仿宋" w:cs="仿宋"/>
          <w:sz w:val="32"/>
          <w:szCs w:val="32"/>
        </w:rPr>
        <w:t>提高精细化管理，建立健全和专业的运行维护体系。</w:t>
      </w:r>
    </w:p>
    <w:tbl>
      <w:tblPr>
        <w:tblStyle w:val="1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101" w:type="dxa"/>
            <w:shd w:val="clear" w:color="auto" w:fill="auto"/>
            <w:noWrap/>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序号</w:t>
            </w:r>
          </w:p>
        </w:tc>
        <w:tc>
          <w:tcPr>
            <w:tcW w:w="7796" w:type="dxa"/>
            <w:shd w:val="clear" w:color="auto" w:fill="auto"/>
            <w:noWrap/>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制度名称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101" w:type="dxa"/>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7796" w:type="dxa"/>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《江门市电子政务机房管理制度》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101" w:type="dxa"/>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796" w:type="dxa"/>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《江门市电子政务机房网络安全人员管理制度》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101" w:type="dxa"/>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7796" w:type="dxa"/>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《江门市电子政务机房设备维修与报废管理制度》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101" w:type="dxa"/>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7796" w:type="dxa"/>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《江门市电子政务机房安全用电管理制度》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101" w:type="dxa"/>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7796" w:type="dxa"/>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《江门市电子政务机房应急保障管理办法》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101" w:type="dxa"/>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7796" w:type="dxa"/>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《江门市电子政务信息安全和保密责任制度》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101" w:type="dxa"/>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7796" w:type="dxa"/>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《江门市电子政务机房维护技能教育培训管理制度》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101" w:type="dxa"/>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8</w:t>
            </w:r>
          </w:p>
        </w:tc>
        <w:tc>
          <w:tcPr>
            <w:tcW w:w="7796" w:type="dxa"/>
            <w:shd w:val="clear" w:color="auto" w:fill="auto"/>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《江门市电子政务机房故障分级和处理流程管理制度》</w:t>
            </w:r>
          </w:p>
        </w:tc>
      </w:tr>
    </w:tbl>
    <w:p>
      <w:pPr>
        <w:spacing w:before="156" w:beforeLines="50" w:line="360" w:lineRule="auto"/>
        <w:ind w:firstLine="643" w:firstLineChars="200"/>
        <w:rPr>
          <w:rFonts w:ascii="仿宋" w:hAnsi="仿宋" w:eastAsia="仿宋" w:cs="黑体"/>
          <w:b/>
          <w:bCs/>
          <w:sz w:val="32"/>
          <w:szCs w:val="32"/>
        </w:rPr>
      </w:pPr>
      <w:r>
        <w:rPr>
          <w:rFonts w:hint="eastAsia" w:ascii="仿宋" w:hAnsi="仿宋" w:eastAsia="仿宋" w:cs="黑体"/>
          <w:b/>
          <w:bCs/>
          <w:sz w:val="32"/>
          <w:szCs w:val="32"/>
        </w:rPr>
        <w:t>2</w:t>
      </w:r>
      <w:r>
        <w:rPr>
          <w:rFonts w:ascii="仿宋" w:hAnsi="仿宋" w:eastAsia="仿宋" w:cs="黑体"/>
          <w:b/>
          <w:bCs/>
          <w:sz w:val="32"/>
          <w:szCs w:val="32"/>
        </w:rPr>
        <w:t>.</w:t>
      </w:r>
      <w:r>
        <w:rPr>
          <w:rFonts w:hint="eastAsia" w:ascii="仿宋" w:hAnsi="仿宋" w:eastAsia="仿宋" w:cs="黑体"/>
          <w:b/>
          <w:bCs/>
          <w:sz w:val="32"/>
          <w:szCs w:val="32"/>
        </w:rPr>
        <w:t>人员保障</w:t>
      </w:r>
    </w:p>
    <w:p>
      <w:pPr>
        <w:spacing w:before="156" w:beforeLines="50" w:line="360" w:lineRule="auto"/>
        <w:ind w:firstLine="640" w:firstLineChars="200"/>
        <w:rPr>
          <w:rFonts w:ascii="仿宋" w:hAnsi="仿宋" w:eastAsia="仿宋" w:cs="黑体"/>
          <w:sz w:val="32"/>
          <w:szCs w:val="32"/>
        </w:rPr>
      </w:pPr>
      <w:r>
        <w:rPr>
          <w:rFonts w:hint="eastAsia" w:ascii="仿宋" w:hAnsi="仿宋" w:eastAsia="仿宋" w:cs="黑体"/>
          <w:sz w:val="32"/>
          <w:szCs w:val="32"/>
        </w:rPr>
        <w:t>为保障恩平政务网政务中心机房和各系统的稳定持续运行，运维服务提供商需成立恩平政务信息系统维护团队，安排不少于三名人员长期驻点。</w:t>
      </w:r>
      <w:r>
        <w:rPr>
          <w:rFonts w:hint="eastAsia" w:ascii="仿宋" w:hAnsi="仿宋" w:eastAsia="仿宋" w:cs="黑体"/>
          <w:sz w:val="32"/>
          <w:szCs w:val="32"/>
          <w:lang w:eastAsia="zh-CN"/>
        </w:rPr>
        <w:t>驻点</w:t>
      </w:r>
      <w:bookmarkStart w:id="1" w:name="_GoBack"/>
      <w:bookmarkEnd w:id="1"/>
      <w:r>
        <w:rPr>
          <w:rFonts w:hint="eastAsia" w:ascii="仿宋" w:hAnsi="仿宋" w:eastAsia="仿宋" w:cs="黑体"/>
          <w:sz w:val="32"/>
          <w:szCs w:val="32"/>
        </w:rPr>
        <w:t>人员在现场驻点，并接受使用单位的技术咨询，在现场对遇到的各项问题进行解决。实施人员的工作情况，接受恩平政数局的监督。</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派驻人员要求：</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（1）本科或本科以上学历，计算机、通信、软件工程、网络工程等相关专业；</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（2）熟悉了解linux系统，精通SQL语句，熟悉Oracle\MySql等主流数据库，熟悉存储过程，具备一定的SQL开发能力优先（适应于软件维护工程师）；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（3）熟练各种互联网基础应用的部署应用者优先，如DNS, HTTP, LVS,Keepalive, Tomcat, MySQL, Nagios, Zabbix等（适应于软件维护工程师）；</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（4）熟悉理解网络协议，如：TCP/IP、MPLS VPN、BGP、OSPF、QoS、SSL VPN等技术原理（适应于网络维护工程师）；</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（5）熟悉华为，思科及H3C等各大主流厂商网络产品（交换机、路由器、防火墙等）的配置和管理，能独立对设备进行安装、调试及故障排查（适应于网络维护工程师）；</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（6）具备2年以上数据机房运维工作经验优先；</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（7）具备快速定位故障原因能力及丰富的故障处理经验；</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（8）良好的客户服务意识，善于团队协作，项目管理，主动思考，自我驱动力强。</w:t>
      </w:r>
    </w:p>
    <w:p>
      <w:pPr>
        <w:spacing w:before="156" w:beforeLines="50" w:line="360" w:lineRule="auto"/>
        <w:ind w:firstLine="640" w:firstLineChars="200"/>
        <w:rPr>
          <w:rFonts w:ascii="仿宋" w:hAnsi="仿宋" w:eastAsia="仿宋" w:cs="黑体"/>
          <w:sz w:val="32"/>
          <w:szCs w:val="32"/>
        </w:rPr>
      </w:pPr>
      <w:r>
        <w:rPr>
          <w:rFonts w:hint="eastAsia" w:ascii="仿宋" w:hAnsi="仿宋" w:eastAsia="仿宋" w:cs="黑体"/>
          <w:sz w:val="32"/>
          <w:szCs w:val="32"/>
        </w:rPr>
        <w:t>主要工作内容包括：</w:t>
      </w:r>
    </w:p>
    <w:p>
      <w:pPr>
        <w:spacing w:before="156" w:beforeLines="50" w:line="360" w:lineRule="auto"/>
        <w:ind w:firstLine="640" w:firstLineChars="200"/>
        <w:rPr>
          <w:rFonts w:ascii="仿宋" w:hAnsi="仿宋" w:eastAsia="仿宋" w:cs="黑体"/>
          <w:sz w:val="32"/>
          <w:szCs w:val="32"/>
        </w:rPr>
      </w:pPr>
      <w:r>
        <w:rPr>
          <w:rFonts w:hint="eastAsia" w:ascii="仿宋" w:hAnsi="仿宋" w:eastAsia="仿宋" w:cs="黑体"/>
          <w:sz w:val="32"/>
          <w:szCs w:val="32"/>
        </w:rPr>
        <w:t>（1）负责机房日常巡检，网络线路监控及流量分析；</w:t>
      </w:r>
    </w:p>
    <w:p>
      <w:pPr>
        <w:spacing w:before="156" w:beforeLines="50" w:line="360" w:lineRule="auto"/>
        <w:ind w:firstLine="640" w:firstLineChars="200"/>
        <w:rPr>
          <w:rFonts w:ascii="仿宋" w:hAnsi="仿宋" w:eastAsia="仿宋" w:cs="黑体"/>
          <w:sz w:val="32"/>
          <w:szCs w:val="32"/>
        </w:rPr>
      </w:pPr>
      <w:r>
        <w:rPr>
          <w:rFonts w:hint="eastAsia" w:ascii="仿宋" w:hAnsi="仿宋" w:eastAsia="仿宋" w:cs="黑体"/>
          <w:sz w:val="32"/>
          <w:szCs w:val="32"/>
        </w:rPr>
        <w:t>（2）负责对业务系统及硬件设备进行定期隐患排查以及故障处理等维护工作；</w:t>
      </w:r>
    </w:p>
    <w:p>
      <w:pPr>
        <w:spacing w:before="156" w:beforeLines="50" w:line="360" w:lineRule="auto"/>
        <w:ind w:firstLine="640" w:firstLineChars="200"/>
        <w:rPr>
          <w:rFonts w:ascii="仿宋" w:hAnsi="仿宋" w:eastAsia="仿宋" w:cs="黑体"/>
          <w:sz w:val="32"/>
          <w:szCs w:val="32"/>
        </w:rPr>
      </w:pPr>
      <w:r>
        <w:rPr>
          <w:rFonts w:hint="eastAsia" w:ascii="仿宋" w:hAnsi="仿宋" w:eastAsia="仿宋" w:cs="黑体"/>
          <w:sz w:val="32"/>
          <w:szCs w:val="32"/>
        </w:rPr>
        <w:t>（3）对重大问题协调相关技术厂家进行处理，并跟踪直至问题解决。</w:t>
      </w:r>
    </w:p>
    <w:p>
      <w:pPr>
        <w:spacing w:before="156" w:beforeLines="50" w:line="360" w:lineRule="auto"/>
        <w:ind w:firstLine="643" w:firstLineChars="200"/>
        <w:rPr>
          <w:rFonts w:ascii="黑体" w:hAnsi="黑体" w:eastAsia="黑体" w:cs="黑体"/>
          <w:b/>
          <w:bCs/>
          <w:sz w:val="32"/>
          <w:szCs w:val="32"/>
        </w:rPr>
      </w:pPr>
      <w:r>
        <w:rPr>
          <w:rFonts w:hint="eastAsia" w:ascii="黑体" w:hAnsi="黑体" w:eastAsia="黑体" w:cs="黑体"/>
          <w:b/>
          <w:bCs/>
          <w:sz w:val="32"/>
          <w:szCs w:val="32"/>
        </w:rPr>
        <w:t>四、投资概算表及相关的取费依据</w:t>
      </w:r>
    </w:p>
    <w:p>
      <w:pPr>
        <w:ind w:firstLine="640" w:firstLineChars="200"/>
        <w:rPr>
          <w:rFonts w:ascii="仿宋" w:hAnsi="仿宋" w:eastAsia="仿宋" w:cs="黑体"/>
          <w:bCs/>
          <w:sz w:val="32"/>
          <w:szCs w:val="32"/>
        </w:rPr>
      </w:pPr>
      <w:r>
        <w:rPr>
          <w:rFonts w:hint="eastAsia" w:ascii="仿宋" w:hAnsi="仿宋" w:eastAsia="仿宋" w:cs="黑体"/>
          <w:bCs/>
          <w:sz w:val="32"/>
          <w:szCs w:val="32"/>
        </w:rPr>
        <w:t>本项目预算48.57万元。</w:t>
      </w:r>
    </w:p>
    <w:tbl>
      <w:tblPr>
        <w:tblStyle w:val="11"/>
        <w:tblW w:w="10840" w:type="dxa"/>
        <w:jc w:val="center"/>
        <w:tblLayout w:type="fixed"/>
        <w:tblCellMar>
          <w:top w:w="0" w:type="dxa"/>
          <w:left w:w="108" w:type="dxa"/>
          <w:bottom w:w="0" w:type="dxa"/>
          <w:right w:w="108" w:type="dxa"/>
        </w:tblCellMar>
      </w:tblPr>
      <w:tblGrid>
        <w:gridCol w:w="457"/>
        <w:gridCol w:w="457"/>
        <w:gridCol w:w="514"/>
        <w:gridCol w:w="1361"/>
        <w:gridCol w:w="2779"/>
        <w:gridCol w:w="457"/>
        <w:gridCol w:w="457"/>
        <w:gridCol w:w="939"/>
        <w:gridCol w:w="939"/>
        <w:gridCol w:w="853"/>
        <w:gridCol w:w="773"/>
        <w:gridCol w:w="854"/>
      </w:tblGrid>
      <w:tr>
        <w:tblPrEx>
          <w:tblCellMar>
            <w:top w:w="0" w:type="dxa"/>
            <w:left w:w="108" w:type="dxa"/>
            <w:bottom w:w="0" w:type="dxa"/>
            <w:right w:w="108" w:type="dxa"/>
          </w:tblCellMar>
        </w:tblPrEx>
        <w:trPr>
          <w:trHeight w:val="960" w:hRule="atLeast"/>
          <w:tblHeader/>
          <w:jc w:val="center"/>
        </w:trPr>
        <w:tc>
          <w:tcPr>
            <w:tcW w:w="4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序号</w:t>
            </w:r>
          </w:p>
        </w:tc>
        <w:tc>
          <w:tcPr>
            <w:tcW w:w="4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预算口径分类</w:t>
            </w:r>
          </w:p>
        </w:tc>
        <w:tc>
          <w:tcPr>
            <w:tcW w:w="5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运维项目</w:t>
            </w:r>
          </w:p>
        </w:tc>
        <w:tc>
          <w:tcPr>
            <w:tcW w:w="13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运维服务内容</w:t>
            </w:r>
          </w:p>
        </w:tc>
        <w:tc>
          <w:tcPr>
            <w:tcW w:w="27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运维服务内容描述</w:t>
            </w:r>
          </w:p>
        </w:tc>
        <w:tc>
          <w:tcPr>
            <w:tcW w:w="2792"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作业时间要求</w:t>
            </w:r>
          </w:p>
        </w:tc>
        <w:tc>
          <w:tcPr>
            <w:tcW w:w="85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工作量（人月）</w:t>
            </w:r>
          </w:p>
        </w:tc>
        <w:tc>
          <w:tcPr>
            <w:tcW w:w="77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单价</w:t>
            </w:r>
            <w:r>
              <w:rPr>
                <w:rFonts w:hint="eastAsia" w:ascii="仿宋" w:hAnsi="仿宋" w:eastAsia="仿宋" w:cs="宋体"/>
                <w:b/>
                <w:bCs/>
                <w:kern w:val="0"/>
                <w:sz w:val="24"/>
                <w:szCs w:val="24"/>
              </w:rPr>
              <w:br w:type="textWrapping"/>
            </w:r>
            <w:r>
              <w:rPr>
                <w:rFonts w:hint="eastAsia" w:ascii="仿宋" w:hAnsi="仿宋" w:eastAsia="仿宋" w:cs="宋体"/>
                <w:b/>
                <w:bCs/>
                <w:kern w:val="0"/>
                <w:sz w:val="24"/>
                <w:szCs w:val="24"/>
              </w:rPr>
              <w:t>（万元/人月）</w:t>
            </w:r>
          </w:p>
        </w:tc>
        <w:tc>
          <w:tcPr>
            <w:tcW w:w="85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预算小计（万元）</w:t>
            </w:r>
          </w:p>
        </w:tc>
      </w:tr>
      <w:tr>
        <w:tblPrEx>
          <w:tblCellMar>
            <w:top w:w="0" w:type="dxa"/>
            <w:left w:w="108" w:type="dxa"/>
            <w:bottom w:w="0" w:type="dxa"/>
            <w:right w:w="108" w:type="dxa"/>
          </w:tblCellMar>
        </w:tblPrEx>
        <w:trPr>
          <w:trHeight w:val="1200" w:hRule="atLeast"/>
          <w:jc w:val="center"/>
        </w:trPr>
        <w:tc>
          <w:tcPr>
            <w:tcW w:w="4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4"/>
                <w:szCs w:val="24"/>
              </w:rPr>
            </w:pPr>
          </w:p>
        </w:tc>
        <w:tc>
          <w:tcPr>
            <w:tcW w:w="4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4"/>
                <w:szCs w:val="24"/>
              </w:rPr>
            </w:pPr>
          </w:p>
        </w:tc>
        <w:tc>
          <w:tcPr>
            <w:tcW w:w="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4"/>
                <w:szCs w:val="24"/>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4"/>
                <w:szCs w:val="24"/>
              </w:rPr>
            </w:pPr>
          </w:p>
        </w:tc>
        <w:tc>
          <w:tcPr>
            <w:tcW w:w="27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4"/>
                <w:szCs w:val="24"/>
              </w:rPr>
            </w:pP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周期</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次数</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每次（分）</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每年（分）</w:t>
            </w:r>
          </w:p>
        </w:tc>
        <w:tc>
          <w:tcPr>
            <w:tcW w:w="85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4"/>
                <w:szCs w:val="24"/>
              </w:rPr>
            </w:pPr>
          </w:p>
        </w:tc>
        <w:tc>
          <w:tcPr>
            <w:tcW w:w="77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4"/>
                <w:szCs w:val="24"/>
              </w:rPr>
            </w:pPr>
          </w:p>
        </w:tc>
        <w:tc>
          <w:tcPr>
            <w:tcW w:w="85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4"/>
                <w:szCs w:val="24"/>
              </w:rPr>
            </w:pPr>
          </w:p>
        </w:tc>
      </w:tr>
      <w:tr>
        <w:tblPrEx>
          <w:tblCellMar>
            <w:top w:w="0" w:type="dxa"/>
            <w:left w:w="108" w:type="dxa"/>
            <w:bottom w:w="0" w:type="dxa"/>
            <w:right w:w="108" w:type="dxa"/>
          </w:tblCellMar>
        </w:tblPrEx>
        <w:trPr>
          <w:trHeight w:val="1500" w:hRule="atLeast"/>
          <w:jc w:val="center"/>
        </w:trPr>
        <w:tc>
          <w:tcPr>
            <w:tcW w:w="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业务系统</w:t>
            </w:r>
          </w:p>
        </w:tc>
        <w:tc>
          <w:tcPr>
            <w:tcW w:w="5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系统巡检</w:t>
            </w:r>
          </w:p>
        </w:tc>
        <w:tc>
          <w:tcPr>
            <w:tcW w:w="1361"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每月对2个政务中心机房的系统进行巡检，检查是否正常运行。</w:t>
            </w:r>
          </w:p>
        </w:tc>
        <w:tc>
          <w:tcPr>
            <w:tcW w:w="2779" w:type="dxa"/>
            <w:tcBorders>
              <w:top w:val="nil"/>
              <w:left w:val="nil"/>
              <w:bottom w:val="single" w:color="auto" w:sz="4" w:space="0"/>
              <w:right w:val="single" w:color="auto" w:sz="4" w:space="0"/>
            </w:tcBorders>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1.巡检数据的收集，统计和分析。</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2.每月提交机房巡检统计记录。</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3.制定机房的巡检制度、巡检表格、数据上报时间和要求。</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4.按网络安全十三个不准进行对标巡检，及时发现问题并解决问题。</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周</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240</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12480</w:t>
            </w:r>
          </w:p>
        </w:tc>
        <w:tc>
          <w:tcPr>
            <w:tcW w:w="85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1.73 </w:t>
            </w:r>
          </w:p>
        </w:tc>
        <w:tc>
          <w:tcPr>
            <w:tcW w:w="77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w:t>
            </w:r>
          </w:p>
        </w:tc>
        <w:tc>
          <w:tcPr>
            <w:tcW w:w="8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2.6 </w:t>
            </w:r>
          </w:p>
        </w:tc>
      </w:tr>
      <w:tr>
        <w:tblPrEx>
          <w:tblCellMar>
            <w:top w:w="0" w:type="dxa"/>
            <w:left w:w="108" w:type="dxa"/>
            <w:bottom w:w="0" w:type="dxa"/>
            <w:right w:w="108" w:type="dxa"/>
          </w:tblCellMar>
        </w:tblPrEx>
        <w:trPr>
          <w:trHeight w:val="1920" w:hRule="atLeast"/>
          <w:jc w:val="center"/>
        </w:trPr>
        <w:tc>
          <w:tcPr>
            <w:tcW w:w="45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45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5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日常维护</w:t>
            </w:r>
          </w:p>
        </w:tc>
        <w:tc>
          <w:tcPr>
            <w:tcW w:w="136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日常维护</w:t>
            </w:r>
          </w:p>
        </w:tc>
        <w:tc>
          <w:tcPr>
            <w:tcW w:w="2779" w:type="dxa"/>
            <w:tcBorders>
              <w:top w:val="nil"/>
              <w:left w:val="nil"/>
              <w:bottom w:val="single" w:color="auto" w:sz="4" w:space="0"/>
              <w:right w:val="single" w:color="auto" w:sz="4" w:space="0"/>
            </w:tcBorders>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对约</w:t>
            </w:r>
            <w:r>
              <w:rPr>
                <w:rFonts w:hint="eastAsia" w:ascii="仿宋" w:hAnsi="仿宋" w:eastAsia="仿宋" w:cs="宋体"/>
                <w:b/>
                <w:bCs/>
                <w:kern w:val="0"/>
                <w:sz w:val="24"/>
                <w:szCs w:val="24"/>
              </w:rPr>
              <w:t>16</w:t>
            </w:r>
            <w:r>
              <w:rPr>
                <w:rFonts w:hint="eastAsia" w:ascii="仿宋" w:hAnsi="仿宋" w:eastAsia="仿宋" w:cs="宋体"/>
                <w:kern w:val="0"/>
                <w:sz w:val="24"/>
                <w:szCs w:val="24"/>
              </w:rPr>
              <w:t>个业务系统进行定期隐患排查以及故障处理等。负责协调厂家进行系统升级和上线测试，负责提出系统的安全防护需求。建立自动化工单管理流程，通过电子工单进行维护派单，处理过程跟踪，以及对维护质量进行总结分析，对维护人员绩效进行考核评价。</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日</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240</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87600</w:t>
            </w:r>
          </w:p>
        </w:tc>
        <w:tc>
          <w:tcPr>
            <w:tcW w:w="85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6.67 </w:t>
            </w:r>
          </w:p>
        </w:tc>
        <w:tc>
          <w:tcPr>
            <w:tcW w:w="77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w:t>
            </w:r>
          </w:p>
        </w:tc>
        <w:tc>
          <w:tcPr>
            <w:tcW w:w="8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10 </w:t>
            </w:r>
          </w:p>
        </w:tc>
      </w:tr>
      <w:tr>
        <w:tblPrEx>
          <w:tblCellMar>
            <w:top w:w="0" w:type="dxa"/>
            <w:left w:w="108" w:type="dxa"/>
            <w:bottom w:w="0" w:type="dxa"/>
            <w:right w:w="108" w:type="dxa"/>
          </w:tblCellMar>
        </w:tblPrEx>
        <w:trPr>
          <w:trHeight w:val="1440" w:hRule="atLeast"/>
          <w:jc w:val="center"/>
        </w:trPr>
        <w:tc>
          <w:tcPr>
            <w:tcW w:w="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硬件设备</w:t>
            </w:r>
          </w:p>
        </w:tc>
        <w:tc>
          <w:tcPr>
            <w:tcW w:w="5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硬件设备</w:t>
            </w:r>
          </w:p>
        </w:tc>
        <w:tc>
          <w:tcPr>
            <w:tcW w:w="136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台账管理</w:t>
            </w:r>
          </w:p>
        </w:tc>
        <w:tc>
          <w:tcPr>
            <w:tcW w:w="2779" w:type="dxa"/>
            <w:tcBorders>
              <w:top w:val="nil"/>
              <w:left w:val="nil"/>
              <w:bottom w:val="single" w:color="auto" w:sz="4" w:space="0"/>
              <w:right w:val="single" w:color="auto" w:sz="4" w:space="0"/>
            </w:tcBorders>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对政务中心机房的设备进行资产登记、系统录入、工单管理等。负责每月清查并更新台账。负责设备的新增上线和报废退出管理。硬件设备包括网络设备、安全设备、主机设备、存储设备等。</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月</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240</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2880</w:t>
            </w:r>
          </w:p>
        </w:tc>
        <w:tc>
          <w:tcPr>
            <w:tcW w:w="85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0.27 </w:t>
            </w:r>
          </w:p>
        </w:tc>
        <w:tc>
          <w:tcPr>
            <w:tcW w:w="77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2.2</w:t>
            </w:r>
          </w:p>
        </w:tc>
        <w:tc>
          <w:tcPr>
            <w:tcW w:w="8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0.60 </w:t>
            </w:r>
          </w:p>
        </w:tc>
      </w:tr>
      <w:tr>
        <w:tblPrEx>
          <w:tblCellMar>
            <w:top w:w="0" w:type="dxa"/>
            <w:left w:w="108" w:type="dxa"/>
            <w:bottom w:w="0" w:type="dxa"/>
            <w:right w:w="108" w:type="dxa"/>
          </w:tblCellMar>
        </w:tblPrEx>
        <w:trPr>
          <w:trHeight w:val="1680" w:hRule="atLeast"/>
          <w:jc w:val="center"/>
        </w:trPr>
        <w:tc>
          <w:tcPr>
            <w:tcW w:w="45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45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51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136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故障处理</w:t>
            </w:r>
          </w:p>
        </w:tc>
        <w:tc>
          <w:tcPr>
            <w:tcW w:w="2779" w:type="dxa"/>
            <w:tcBorders>
              <w:top w:val="nil"/>
              <w:left w:val="nil"/>
              <w:bottom w:val="single" w:color="auto" w:sz="4" w:space="0"/>
              <w:right w:val="single" w:color="auto" w:sz="4" w:space="0"/>
            </w:tcBorders>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对机房内交换机、路由器、服务器、防火墙及存储等约60台设备进行硬件维修和输出运维分析报告等专业性维护。负责交换、数据、传输和关联业务的随工工作。保持设备、机房环境的清洁。负责MDF架的维护管理工作。</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月</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360</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12960</w:t>
            </w:r>
          </w:p>
        </w:tc>
        <w:tc>
          <w:tcPr>
            <w:tcW w:w="85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1.87 </w:t>
            </w:r>
          </w:p>
        </w:tc>
        <w:tc>
          <w:tcPr>
            <w:tcW w:w="77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w:t>
            </w:r>
          </w:p>
        </w:tc>
        <w:tc>
          <w:tcPr>
            <w:tcW w:w="8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2.80 </w:t>
            </w:r>
          </w:p>
        </w:tc>
      </w:tr>
      <w:tr>
        <w:tblPrEx>
          <w:tblCellMar>
            <w:top w:w="0" w:type="dxa"/>
            <w:left w:w="108" w:type="dxa"/>
            <w:bottom w:w="0" w:type="dxa"/>
            <w:right w:w="108" w:type="dxa"/>
          </w:tblCellMar>
        </w:tblPrEx>
        <w:trPr>
          <w:trHeight w:val="2160" w:hRule="atLeast"/>
          <w:jc w:val="center"/>
        </w:trPr>
        <w:tc>
          <w:tcPr>
            <w:tcW w:w="4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网络维护</w:t>
            </w:r>
          </w:p>
        </w:tc>
        <w:tc>
          <w:tcPr>
            <w:tcW w:w="5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网络维护</w:t>
            </w:r>
          </w:p>
        </w:tc>
        <w:tc>
          <w:tcPr>
            <w:tcW w:w="136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网络维护</w:t>
            </w:r>
          </w:p>
        </w:tc>
        <w:tc>
          <w:tcPr>
            <w:tcW w:w="2779" w:type="dxa"/>
            <w:tcBorders>
              <w:top w:val="nil"/>
              <w:left w:val="nil"/>
              <w:bottom w:val="single" w:color="auto" w:sz="4" w:space="0"/>
              <w:right w:val="single" w:color="auto" w:sz="4" w:space="0"/>
            </w:tcBorders>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对政务中心机房内网络线路进行日常监控、流量分析及故障处理配合。协调运营商做好施工随工管理工作。建立供应商的绩效评估方案，并定期对供应商进行绩效评估。应设立供应商管理文档，记录所有供应商的联系方式、服务承诺（SLA）、工作范围、针对设施的培训和认证情况等信息。对全101个政务机房进行通信保障。</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月</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480</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28800</w:t>
            </w:r>
          </w:p>
        </w:tc>
        <w:tc>
          <w:tcPr>
            <w:tcW w:w="85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7.33 </w:t>
            </w:r>
          </w:p>
        </w:tc>
        <w:tc>
          <w:tcPr>
            <w:tcW w:w="77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w:t>
            </w:r>
          </w:p>
        </w:tc>
        <w:tc>
          <w:tcPr>
            <w:tcW w:w="8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1</w:t>
            </w:r>
            <w:r>
              <w:rPr>
                <w:rFonts w:hint="eastAsia" w:ascii="仿宋" w:hAnsi="仿宋" w:eastAsia="仿宋" w:cs="宋体"/>
                <w:kern w:val="0"/>
                <w:sz w:val="24"/>
                <w:szCs w:val="24"/>
              </w:rPr>
              <w:t xml:space="preserve">1 </w:t>
            </w:r>
          </w:p>
        </w:tc>
      </w:tr>
      <w:tr>
        <w:tblPrEx>
          <w:tblCellMar>
            <w:top w:w="0" w:type="dxa"/>
            <w:left w:w="108" w:type="dxa"/>
            <w:bottom w:w="0" w:type="dxa"/>
            <w:right w:w="108" w:type="dxa"/>
          </w:tblCellMar>
        </w:tblPrEx>
        <w:trPr>
          <w:trHeight w:val="1407" w:hRule="atLeast"/>
          <w:jc w:val="center"/>
        </w:trPr>
        <w:tc>
          <w:tcPr>
            <w:tcW w:w="45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45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动力环境</w:t>
            </w:r>
          </w:p>
        </w:tc>
        <w:tc>
          <w:tcPr>
            <w:tcW w:w="51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动力环境</w:t>
            </w:r>
          </w:p>
        </w:tc>
        <w:tc>
          <w:tcPr>
            <w:tcW w:w="136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动力</w:t>
            </w:r>
          </w:p>
        </w:tc>
        <w:tc>
          <w:tcPr>
            <w:tcW w:w="2779" w:type="dxa"/>
            <w:tcBorders>
              <w:top w:val="nil"/>
              <w:left w:val="nil"/>
              <w:bottom w:val="single" w:color="auto" w:sz="4" w:space="0"/>
              <w:right w:val="single" w:color="auto" w:sz="4" w:space="0"/>
            </w:tcBorders>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对政务中心机房内2台UPS设备进行日常监控、隐患排查及故障处理。每月对UPS系统进行巡查和基本测试，及时发现并记录故障或故障隐患，对于现场能够处理的故障现场解决，否则将故障上报。对UPS的内部电气参数进行测试，以判断UPS的性能是否恶化。因内部参数的恶化最终会导致UPS外部性能的恶化。对UPS系统的功能进行全面测试并记录，检查各项功能是否正常。对UPS系统的参数设置进行核对，修改不正确的参数设置，使UPS系统工作在最佳状态，发挥更有效的作用，同时延长使用寿命。</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月</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85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2台</w:t>
            </w:r>
          </w:p>
        </w:tc>
        <w:tc>
          <w:tcPr>
            <w:tcW w:w="77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1.7</w:t>
            </w:r>
          </w:p>
        </w:tc>
        <w:tc>
          <w:tcPr>
            <w:tcW w:w="8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3.4 </w:t>
            </w:r>
          </w:p>
        </w:tc>
      </w:tr>
      <w:tr>
        <w:tblPrEx>
          <w:tblCellMar>
            <w:top w:w="0" w:type="dxa"/>
            <w:left w:w="108" w:type="dxa"/>
            <w:bottom w:w="0" w:type="dxa"/>
            <w:right w:w="108" w:type="dxa"/>
          </w:tblCellMar>
        </w:tblPrEx>
        <w:trPr>
          <w:trHeight w:val="480" w:hRule="atLeast"/>
          <w:jc w:val="center"/>
        </w:trPr>
        <w:tc>
          <w:tcPr>
            <w:tcW w:w="45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45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51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136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2779" w:type="dxa"/>
            <w:tcBorders>
              <w:top w:val="nil"/>
              <w:left w:val="nil"/>
              <w:bottom w:val="single" w:color="auto" w:sz="4" w:space="0"/>
              <w:right w:val="single" w:color="auto" w:sz="4" w:space="0"/>
            </w:tcBorders>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每月对全市2个政务机房进行UPS设备巡检。</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月</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120</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7200</w:t>
            </w:r>
          </w:p>
        </w:tc>
        <w:tc>
          <w:tcPr>
            <w:tcW w:w="85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0.33 </w:t>
            </w:r>
          </w:p>
        </w:tc>
        <w:tc>
          <w:tcPr>
            <w:tcW w:w="77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w:t>
            </w:r>
          </w:p>
        </w:tc>
        <w:tc>
          <w:tcPr>
            <w:tcW w:w="8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0.5 </w:t>
            </w:r>
          </w:p>
        </w:tc>
      </w:tr>
      <w:tr>
        <w:tblPrEx>
          <w:tblCellMar>
            <w:top w:w="0" w:type="dxa"/>
            <w:left w:w="108" w:type="dxa"/>
            <w:bottom w:w="0" w:type="dxa"/>
            <w:right w:w="108" w:type="dxa"/>
          </w:tblCellMar>
        </w:tblPrEx>
        <w:trPr>
          <w:trHeight w:val="699" w:hRule="atLeast"/>
          <w:jc w:val="center"/>
        </w:trPr>
        <w:tc>
          <w:tcPr>
            <w:tcW w:w="45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45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51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136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制冷</w:t>
            </w:r>
          </w:p>
        </w:tc>
        <w:tc>
          <w:tcPr>
            <w:tcW w:w="2779" w:type="dxa"/>
            <w:tcBorders>
              <w:top w:val="nil"/>
              <w:left w:val="nil"/>
              <w:bottom w:val="single" w:color="auto" w:sz="4" w:space="0"/>
              <w:right w:val="single" w:color="auto" w:sz="4" w:space="0"/>
            </w:tcBorders>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每季度对政务中心机房的5台空调进行日常监控、隐患排查及故障处理。服务项目包括：检查控制器程序菜单设置、压机、风机、加热器、冷凝器、制冷循环管路、过滤网、加湿器和供排水管路及电器系统等部份的运行情况。排除发现的故障,更换损坏的配件。调整控制器程序，调整系统运行压力，清洁空气过滤网、冷凝器、加湿器等设备。</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月</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85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5台</w:t>
            </w:r>
          </w:p>
        </w:tc>
        <w:tc>
          <w:tcPr>
            <w:tcW w:w="77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1.24</w:t>
            </w:r>
          </w:p>
        </w:tc>
        <w:tc>
          <w:tcPr>
            <w:tcW w:w="8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6.2 </w:t>
            </w:r>
          </w:p>
        </w:tc>
      </w:tr>
      <w:tr>
        <w:tblPrEx>
          <w:tblCellMar>
            <w:top w:w="0" w:type="dxa"/>
            <w:left w:w="108" w:type="dxa"/>
            <w:bottom w:w="0" w:type="dxa"/>
            <w:right w:w="108" w:type="dxa"/>
          </w:tblCellMar>
        </w:tblPrEx>
        <w:trPr>
          <w:trHeight w:val="480" w:hRule="atLeast"/>
          <w:jc w:val="center"/>
        </w:trPr>
        <w:tc>
          <w:tcPr>
            <w:tcW w:w="45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45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51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136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2779" w:type="dxa"/>
            <w:tcBorders>
              <w:top w:val="nil"/>
              <w:left w:val="nil"/>
              <w:bottom w:val="single" w:color="auto" w:sz="4" w:space="0"/>
              <w:right w:val="single" w:color="auto" w:sz="4" w:space="0"/>
            </w:tcBorders>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每月对2个政务机房进行空调设备巡检。</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月</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120</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7200</w:t>
            </w:r>
          </w:p>
        </w:tc>
        <w:tc>
          <w:tcPr>
            <w:tcW w:w="85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2.03 </w:t>
            </w:r>
          </w:p>
        </w:tc>
        <w:tc>
          <w:tcPr>
            <w:tcW w:w="77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w:t>
            </w:r>
          </w:p>
        </w:tc>
        <w:tc>
          <w:tcPr>
            <w:tcW w:w="8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1 </w:t>
            </w:r>
          </w:p>
        </w:tc>
      </w:tr>
      <w:tr>
        <w:tblPrEx>
          <w:tblCellMar>
            <w:top w:w="0" w:type="dxa"/>
            <w:left w:w="108" w:type="dxa"/>
            <w:bottom w:w="0" w:type="dxa"/>
            <w:right w:w="108" w:type="dxa"/>
          </w:tblCellMar>
        </w:tblPrEx>
        <w:trPr>
          <w:trHeight w:val="480" w:hRule="atLeast"/>
          <w:jc w:val="center"/>
        </w:trPr>
        <w:tc>
          <w:tcPr>
            <w:tcW w:w="45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45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51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136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环境监控</w:t>
            </w:r>
          </w:p>
        </w:tc>
        <w:tc>
          <w:tcPr>
            <w:tcW w:w="27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每月对2个政务机房的环境监控设备进行巡检等。</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月</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120</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7200</w:t>
            </w:r>
          </w:p>
        </w:tc>
        <w:tc>
          <w:tcPr>
            <w:tcW w:w="85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2.03 </w:t>
            </w:r>
          </w:p>
        </w:tc>
        <w:tc>
          <w:tcPr>
            <w:tcW w:w="77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w:t>
            </w:r>
          </w:p>
        </w:tc>
        <w:tc>
          <w:tcPr>
            <w:tcW w:w="8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1 </w:t>
            </w:r>
          </w:p>
        </w:tc>
      </w:tr>
      <w:tr>
        <w:tblPrEx>
          <w:tblCellMar>
            <w:top w:w="0" w:type="dxa"/>
            <w:left w:w="108" w:type="dxa"/>
            <w:bottom w:w="0" w:type="dxa"/>
            <w:right w:w="108" w:type="dxa"/>
          </w:tblCellMar>
        </w:tblPrEx>
        <w:trPr>
          <w:trHeight w:val="996" w:hRule="atLeast"/>
          <w:jc w:val="center"/>
        </w:trPr>
        <w:tc>
          <w:tcPr>
            <w:tcW w:w="457" w:type="dxa"/>
            <w:tcBorders>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w:t>
            </w:r>
          </w:p>
        </w:tc>
        <w:tc>
          <w:tcPr>
            <w:tcW w:w="457" w:type="dxa"/>
            <w:tcBorders>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ascii="仿宋" w:hAnsi="仿宋" w:eastAsia="仿宋" w:cs="宋体"/>
                <w:kern w:val="0"/>
                <w:sz w:val="24"/>
                <w:szCs w:val="24"/>
              </w:rPr>
              <w:t>机房撤并</w:t>
            </w:r>
          </w:p>
        </w:tc>
        <w:tc>
          <w:tcPr>
            <w:tcW w:w="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机房撤并</w:t>
            </w:r>
          </w:p>
        </w:tc>
        <w:tc>
          <w:tcPr>
            <w:tcW w:w="136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机房撤并</w:t>
            </w:r>
          </w:p>
        </w:tc>
        <w:tc>
          <w:tcPr>
            <w:tcW w:w="27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调研政务机房需要迁移的系统以及需要搬迁的设备，形成系统和设备清单，详细登记相关参数信息存档，制定机房搬迁计划和后续维护方案，准备迁入机房的环境、动力、服务器等需求并制定实施方案，做好机房撤并评估及工作计划。</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年</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4800</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24000</w:t>
            </w:r>
          </w:p>
        </w:tc>
        <w:tc>
          <w:tcPr>
            <w:tcW w:w="85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1.78 </w:t>
            </w:r>
          </w:p>
        </w:tc>
        <w:tc>
          <w:tcPr>
            <w:tcW w:w="77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w:t>
            </w:r>
          </w:p>
        </w:tc>
        <w:tc>
          <w:tcPr>
            <w:tcW w:w="8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2.67 </w:t>
            </w:r>
          </w:p>
        </w:tc>
      </w:tr>
      <w:tr>
        <w:tblPrEx>
          <w:tblCellMar>
            <w:top w:w="0" w:type="dxa"/>
            <w:left w:w="108" w:type="dxa"/>
            <w:bottom w:w="0" w:type="dxa"/>
            <w:right w:w="108" w:type="dxa"/>
          </w:tblCellMar>
        </w:tblPrEx>
        <w:trPr>
          <w:trHeight w:val="960" w:hRule="atLeast"/>
          <w:jc w:val="center"/>
        </w:trPr>
        <w:tc>
          <w:tcPr>
            <w:tcW w:w="4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安全防护</w:t>
            </w:r>
          </w:p>
        </w:tc>
        <w:tc>
          <w:tcPr>
            <w:tcW w:w="5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安全防护</w:t>
            </w:r>
          </w:p>
        </w:tc>
        <w:tc>
          <w:tcPr>
            <w:tcW w:w="136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安全防护</w:t>
            </w:r>
          </w:p>
        </w:tc>
        <w:tc>
          <w:tcPr>
            <w:tcW w:w="27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每月检查政务中心机房的应用防火墙、流控、IPS等安全设备的运行状态，对终端、服务器进行安全扫描及补丁装载，及时处理安全隐患。</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月</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960</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11520</w:t>
            </w:r>
          </w:p>
        </w:tc>
        <w:tc>
          <w:tcPr>
            <w:tcW w:w="85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1.07 </w:t>
            </w:r>
          </w:p>
        </w:tc>
        <w:tc>
          <w:tcPr>
            <w:tcW w:w="77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1.7</w:t>
            </w:r>
          </w:p>
        </w:tc>
        <w:tc>
          <w:tcPr>
            <w:tcW w:w="8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1.80 </w:t>
            </w:r>
          </w:p>
        </w:tc>
      </w:tr>
      <w:tr>
        <w:tblPrEx>
          <w:tblCellMar>
            <w:top w:w="0" w:type="dxa"/>
            <w:left w:w="108" w:type="dxa"/>
            <w:bottom w:w="0" w:type="dxa"/>
            <w:right w:w="108" w:type="dxa"/>
          </w:tblCellMar>
        </w:tblPrEx>
        <w:trPr>
          <w:trHeight w:val="1462" w:hRule="atLeast"/>
          <w:jc w:val="center"/>
        </w:trPr>
        <w:tc>
          <w:tcPr>
            <w:tcW w:w="457" w:type="dxa"/>
            <w:tcBorders>
              <w:top w:val="nil"/>
              <w:left w:val="single" w:color="auto" w:sz="4" w:space="0"/>
              <w:bottom w:val="nil"/>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457" w:type="dxa"/>
            <w:tcBorders>
              <w:top w:val="nil"/>
              <w:left w:val="single" w:color="auto" w:sz="4" w:space="0"/>
              <w:bottom w:val="nil"/>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应急保障</w:t>
            </w:r>
          </w:p>
        </w:tc>
        <w:tc>
          <w:tcPr>
            <w:tcW w:w="514" w:type="dxa"/>
            <w:tcBorders>
              <w:top w:val="nil"/>
              <w:left w:val="single" w:color="auto" w:sz="4" w:space="0"/>
              <w:bottom w:val="nil"/>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应急保障</w:t>
            </w:r>
          </w:p>
        </w:tc>
        <w:tc>
          <w:tcPr>
            <w:tcW w:w="136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应急保障</w:t>
            </w:r>
          </w:p>
        </w:tc>
        <w:tc>
          <w:tcPr>
            <w:tcW w:w="2779" w:type="dxa"/>
            <w:tcBorders>
              <w:top w:val="nil"/>
              <w:left w:val="nil"/>
              <w:bottom w:val="single" w:color="auto" w:sz="4" w:space="0"/>
              <w:right w:val="single" w:color="auto" w:sz="4" w:space="0"/>
            </w:tcBorders>
            <w:shd w:val="clear" w:color="auto" w:fill="auto"/>
          </w:tcPr>
          <w:p>
            <w:pPr>
              <w:widowControl/>
              <w:jc w:val="left"/>
              <w:rPr>
                <w:rFonts w:ascii="仿宋" w:hAnsi="仿宋" w:eastAsia="仿宋" w:cs="宋体"/>
                <w:kern w:val="0"/>
                <w:sz w:val="24"/>
                <w:szCs w:val="24"/>
              </w:rPr>
            </w:pPr>
            <w:r>
              <w:rPr>
                <w:rFonts w:hint="eastAsia" w:ascii="仿宋" w:hAnsi="仿宋" w:eastAsia="仿宋" w:cs="宋体"/>
                <w:kern w:val="0"/>
                <w:sz w:val="24"/>
                <w:szCs w:val="24"/>
              </w:rPr>
              <w:t>负责提供7×24小时专人应急服务热线，接到应急报障后，按照客户的安排，在发生重大事件、防风抗灾等期间，迅速派出应急队伍，安排专业工程师到机房现场随时响应。系统发生故障后,自报障时起算,驻点工程师15分钟内响应,根据实际情况,快速赶到现场进行维护。</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年</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3000</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36000</w:t>
            </w:r>
          </w:p>
        </w:tc>
        <w:tc>
          <w:tcPr>
            <w:tcW w:w="85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3.73 </w:t>
            </w:r>
          </w:p>
        </w:tc>
        <w:tc>
          <w:tcPr>
            <w:tcW w:w="77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w:t>
            </w:r>
          </w:p>
        </w:tc>
        <w:tc>
          <w:tcPr>
            <w:tcW w:w="85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5 </w:t>
            </w:r>
          </w:p>
        </w:tc>
      </w:tr>
      <w:tr>
        <w:tblPrEx>
          <w:tblCellMar>
            <w:top w:w="0" w:type="dxa"/>
            <w:left w:w="108" w:type="dxa"/>
            <w:bottom w:w="0" w:type="dxa"/>
            <w:right w:w="108" w:type="dxa"/>
          </w:tblCellMar>
        </w:tblPrEx>
        <w:trPr>
          <w:trHeight w:val="348" w:hRule="atLeast"/>
          <w:jc w:val="center"/>
        </w:trPr>
        <w:tc>
          <w:tcPr>
            <w:tcW w:w="9986"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合计</w:t>
            </w:r>
          </w:p>
        </w:tc>
        <w:tc>
          <w:tcPr>
            <w:tcW w:w="85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48.57</w:t>
            </w:r>
          </w:p>
        </w:tc>
      </w:tr>
    </w:tbl>
    <w:p>
      <w:pPr>
        <w:spacing w:before="156" w:beforeLines="50" w:line="360" w:lineRule="auto"/>
        <w:ind w:firstLine="643" w:firstLineChars="200"/>
        <w:rPr>
          <w:rFonts w:ascii="黑体" w:hAnsi="黑体" w:eastAsia="黑体" w:cs="黑体"/>
          <w:b/>
          <w:bCs/>
          <w:sz w:val="32"/>
          <w:szCs w:val="32"/>
        </w:rPr>
      </w:pPr>
      <w:r>
        <w:rPr>
          <w:rFonts w:hint="eastAsia" w:ascii="黑体" w:hAnsi="黑体" w:eastAsia="黑体" w:cs="黑体"/>
          <w:b/>
          <w:bCs/>
          <w:sz w:val="32"/>
          <w:szCs w:val="32"/>
        </w:rPr>
        <w:t>五、实施周期要求</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整个项目总体维护周期</w:t>
      </w:r>
      <w:r>
        <w:rPr>
          <w:rFonts w:hint="eastAsia" w:ascii="仿宋_GB2312" w:hAnsi="仿宋_GB2312" w:eastAsia="仿宋_GB2312" w:cs="仿宋_GB2312"/>
          <w:sz w:val="32"/>
          <w:szCs w:val="32"/>
        </w:rPr>
        <w:t>计划在2021年内完成。</w:t>
      </w:r>
    </w:p>
    <w:p>
      <w:pPr>
        <w:spacing w:before="156" w:beforeLines="50" w:line="360" w:lineRule="auto"/>
        <w:ind w:firstLine="643" w:firstLineChars="200"/>
        <w:rPr>
          <w:rFonts w:ascii="黑体" w:hAnsi="黑体" w:eastAsia="黑体" w:cs="黑体"/>
          <w:b/>
          <w:bCs/>
          <w:sz w:val="32"/>
          <w:szCs w:val="32"/>
        </w:rPr>
      </w:pPr>
      <w:r>
        <w:rPr>
          <w:rFonts w:hint="eastAsia" w:ascii="黑体" w:hAnsi="黑体" w:eastAsia="黑体" w:cs="黑体"/>
          <w:b/>
          <w:bCs/>
          <w:sz w:val="32"/>
          <w:szCs w:val="32"/>
        </w:rPr>
        <w:t>六、其他必要的信息</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项目联系人：</w:t>
      </w:r>
      <w:r>
        <w:rPr>
          <w:rFonts w:ascii="仿宋" w:hAnsi="仿宋" w:eastAsia="仿宋" w:cs="仿宋"/>
          <w:sz w:val="32"/>
          <w:szCs w:val="32"/>
        </w:rPr>
        <w:t xml:space="preserve">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联系方式：</w:t>
      </w:r>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510" w:right="280"/>
      <w:jc w:val="right"/>
      <w:rPr>
        <w:sz w:val="28"/>
        <w:szCs w:val="28"/>
      </w:rPr>
    </w:pPr>
    <w:r>
      <w:rPr>
        <w:rFonts w:hint="eastAsia"/>
        <w:sz w:val="28"/>
        <w:szCs w:val="28"/>
      </w:rPr>
      <w:t xml:space="preserve">— </w:t>
    </w:r>
    <w:sdt>
      <w:sdtPr>
        <w:rPr>
          <w:sz w:val="28"/>
          <w:szCs w:val="28"/>
        </w:rPr>
        <w:id w:val="572864506"/>
      </w:sdtPr>
      <w:sdtEndPr>
        <w:rPr>
          <w:sz w:val="28"/>
          <w:szCs w:val="28"/>
        </w:rPr>
      </w:sdtEndPr>
      <w:sdtContent>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11</w:t>
        </w:r>
        <w:r>
          <w:rPr>
            <w:sz w:val="28"/>
            <w:szCs w:val="28"/>
          </w:rPr>
          <w:fldChar w:fldCharType="end"/>
        </w:r>
        <w:r>
          <w:rPr>
            <w:rFonts w:hint="eastAsia"/>
            <w:sz w:val="28"/>
            <w:szCs w:val="28"/>
          </w:rPr>
          <w:t xml:space="preserve"> —</w:t>
        </w:r>
      </w:sdtContent>
    </w:sdt>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8"/>
        <w:szCs w:val="28"/>
      </w:rPr>
    </w:pPr>
    <w:r>
      <w:rPr>
        <w:rFonts w:hint="eastAsia"/>
        <w:sz w:val="28"/>
        <w:szCs w:val="28"/>
      </w:rPr>
      <w:t xml:space="preserve">— </w:t>
    </w:r>
    <w:sdt>
      <w:sdtPr>
        <w:rPr>
          <w:sz w:val="28"/>
          <w:szCs w:val="28"/>
        </w:rPr>
        <w:id w:val="911437848"/>
      </w:sdtPr>
      <w:sdtEndPr>
        <w:rPr>
          <w:sz w:val="28"/>
          <w:szCs w:val="28"/>
        </w:rPr>
      </w:sdtEndPr>
      <w:sdtContent>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10</w:t>
        </w:r>
        <w:r>
          <w:rPr>
            <w:sz w:val="28"/>
            <w:szCs w:val="28"/>
          </w:rPr>
          <w:fldChar w:fldCharType="end"/>
        </w:r>
        <w:r>
          <w:rPr>
            <w:rFonts w:hint="eastAsia"/>
            <w:sz w:val="28"/>
            <w:szCs w:val="28"/>
          </w:rPr>
          <w:t xml:space="preserve"> —</w:t>
        </w:r>
      </w:sdtContent>
    </w:sdt>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569E"/>
    <w:multiLevelType w:val="multilevel"/>
    <w:tmpl w:val="071B569E"/>
    <w:lvl w:ilvl="0" w:tentative="0">
      <w:start w:val="1"/>
      <w:numFmt w:val="decimalEnclosedCircle"/>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AA"/>
    <w:rsid w:val="00001A23"/>
    <w:rsid w:val="00017074"/>
    <w:rsid w:val="00030F14"/>
    <w:rsid w:val="00034F13"/>
    <w:rsid w:val="00037B66"/>
    <w:rsid w:val="00040858"/>
    <w:rsid w:val="0004139E"/>
    <w:rsid w:val="00046904"/>
    <w:rsid w:val="00050450"/>
    <w:rsid w:val="00053D0D"/>
    <w:rsid w:val="000545DC"/>
    <w:rsid w:val="00056BE3"/>
    <w:rsid w:val="0006198A"/>
    <w:rsid w:val="00070C91"/>
    <w:rsid w:val="00072170"/>
    <w:rsid w:val="00073166"/>
    <w:rsid w:val="00074E6E"/>
    <w:rsid w:val="00082D2F"/>
    <w:rsid w:val="00084259"/>
    <w:rsid w:val="00085C29"/>
    <w:rsid w:val="00086D86"/>
    <w:rsid w:val="00091CE6"/>
    <w:rsid w:val="00092EE3"/>
    <w:rsid w:val="000946AA"/>
    <w:rsid w:val="00094A8F"/>
    <w:rsid w:val="00095B94"/>
    <w:rsid w:val="000A2D19"/>
    <w:rsid w:val="000A32E6"/>
    <w:rsid w:val="000B7A6A"/>
    <w:rsid w:val="000C3AF5"/>
    <w:rsid w:val="000D076F"/>
    <w:rsid w:val="000D20EB"/>
    <w:rsid w:val="000D24BE"/>
    <w:rsid w:val="000D4FB1"/>
    <w:rsid w:val="000D5A36"/>
    <w:rsid w:val="000D63F6"/>
    <w:rsid w:val="000E2DF7"/>
    <w:rsid w:val="000E3341"/>
    <w:rsid w:val="000E443B"/>
    <w:rsid w:val="000E4E95"/>
    <w:rsid w:val="000E5F4E"/>
    <w:rsid w:val="000F0A9E"/>
    <w:rsid w:val="000F75B5"/>
    <w:rsid w:val="001026B0"/>
    <w:rsid w:val="0010720B"/>
    <w:rsid w:val="00110447"/>
    <w:rsid w:val="00110866"/>
    <w:rsid w:val="00112B9D"/>
    <w:rsid w:val="0011591C"/>
    <w:rsid w:val="00117F58"/>
    <w:rsid w:val="00125C4D"/>
    <w:rsid w:val="0013036C"/>
    <w:rsid w:val="0013236C"/>
    <w:rsid w:val="00144AD4"/>
    <w:rsid w:val="00145C70"/>
    <w:rsid w:val="0015161C"/>
    <w:rsid w:val="00151973"/>
    <w:rsid w:val="00151F1B"/>
    <w:rsid w:val="0015214C"/>
    <w:rsid w:val="00154E00"/>
    <w:rsid w:val="00156E34"/>
    <w:rsid w:val="00160D27"/>
    <w:rsid w:val="00162209"/>
    <w:rsid w:val="00170790"/>
    <w:rsid w:val="001722EF"/>
    <w:rsid w:val="00175B89"/>
    <w:rsid w:val="001866A7"/>
    <w:rsid w:val="00192EBC"/>
    <w:rsid w:val="001A07F1"/>
    <w:rsid w:val="001A0C37"/>
    <w:rsid w:val="001A110F"/>
    <w:rsid w:val="001A137F"/>
    <w:rsid w:val="001A20FA"/>
    <w:rsid w:val="001A29B4"/>
    <w:rsid w:val="001A513E"/>
    <w:rsid w:val="001A6988"/>
    <w:rsid w:val="001B1C48"/>
    <w:rsid w:val="001C0C90"/>
    <w:rsid w:val="001C0CE8"/>
    <w:rsid w:val="001C570F"/>
    <w:rsid w:val="001C6315"/>
    <w:rsid w:val="001C7357"/>
    <w:rsid w:val="001D7EB4"/>
    <w:rsid w:val="001E72BB"/>
    <w:rsid w:val="001F16AC"/>
    <w:rsid w:val="001F5616"/>
    <w:rsid w:val="00201885"/>
    <w:rsid w:val="00201994"/>
    <w:rsid w:val="002021F5"/>
    <w:rsid w:val="00211CC2"/>
    <w:rsid w:val="002121D7"/>
    <w:rsid w:val="00214CAB"/>
    <w:rsid w:val="00223E7A"/>
    <w:rsid w:val="00225390"/>
    <w:rsid w:val="0023133B"/>
    <w:rsid w:val="00231406"/>
    <w:rsid w:val="00251272"/>
    <w:rsid w:val="00251DA4"/>
    <w:rsid w:val="00260698"/>
    <w:rsid w:val="00283EAB"/>
    <w:rsid w:val="002853C4"/>
    <w:rsid w:val="00285882"/>
    <w:rsid w:val="00291D10"/>
    <w:rsid w:val="002936EE"/>
    <w:rsid w:val="002A08FB"/>
    <w:rsid w:val="002A48B3"/>
    <w:rsid w:val="002A5467"/>
    <w:rsid w:val="002A5576"/>
    <w:rsid w:val="002A6083"/>
    <w:rsid w:val="002A7DE5"/>
    <w:rsid w:val="002B05DF"/>
    <w:rsid w:val="002B2074"/>
    <w:rsid w:val="002B4498"/>
    <w:rsid w:val="002B6C4D"/>
    <w:rsid w:val="002C25F2"/>
    <w:rsid w:val="002C665A"/>
    <w:rsid w:val="002D3C9C"/>
    <w:rsid w:val="002D4C29"/>
    <w:rsid w:val="002D707B"/>
    <w:rsid w:val="002D76B8"/>
    <w:rsid w:val="002E3647"/>
    <w:rsid w:val="002E724D"/>
    <w:rsid w:val="002F0D03"/>
    <w:rsid w:val="002F1E86"/>
    <w:rsid w:val="002F21F7"/>
    <w:rsid w:val="003011F8"/>
    <w:rsid w:val="00303150"/>
    <w:rsid w:val="00313E5F"/>
    <w:rsid w:val="0032018C"/>
    <w:rsid w:val="003212EB"/>
    <w:rsid w:val="003214C8"/>
    <w:rsid w:val="003229F0"/>
    <w:rsid w:val="0032770B"/>
    <w:rsid w:val="00330DC6"/>
    <w:rsid w:val="0035019B"/>
    <w:rsid w:val="00351FE3"/>
    <w:rsid w:val="00354402"/>
    <w:rsid w:val="00354BEA"/>
    <w:rsid w:val="00355826"/>
    <w:rsid w:val="00361062"/>
    <w:rsid w:val="003648FF"/>
    <w:rsid w:val="0037143E"/>
    <w:rsid w:val="00387BCC"/>
    <w:rsid w:val="003917F1"/>
    <w:rsid w:val="00391DF2"/>
    <w:rsid w:val="00392CBA"/>
    <w:rsid w:val="0039388F"/>
    <w:rsid w:val="00394CFA"/>
    <w:rsid w:val="003A2CDA"/>
    <w:rsid w:val="003A3086"/>
    <w:rsid w:val="003A5B96"/>
    <w:rsid w:val="003B1DE2"/>
    <w:rsid w:val="003B7192"/>
    <w:rsid w:val="003C265D"/>
    <w:rsid w:val="003C3CCE"/>
    <w:rsid w:val="003C50B3"/>
    <w:rsid w:val="003C7D32"/>
    <w:rsid w:val="003D13CB"/>
    <w:rsid w:val="003D1423"/>
    <w:rsid w:val="003D1F38"/>
    <w:rsid w:val="003D2E39"/>
    <w:rsid w:val="003D3981"/>
    <w:rsid w:val="003D479A"/>
    <w:rsid w:val="003D6C5F"/>
    <w:rsid w:val="003D7D6B"/>
    <w:rsid w:val="003E00C7"/>
    <w:rsid w:val="003E48CE"/>
    <w:rsid w:val="003E63DA"/>
    <w:rsid w:val="003E77EB"/>
    <w:rsid w:val="003F5E40"/>
    <w:rsid w:val="003F7A65"/>
    <w:rsid w:val="003F7D75"/>
    <w:rsid w:val="00401963"/>
    <w:rsid w:val="00401D89"/>
    <w:rsid w:val="00402EC9"/>
    <w:rsid w:val="00403BE1"/>
    <w:rsid w:val="00410DA4"/>
    <w:rsid w:val="00413511"/>
    <w:rsid w:val="004136D7"/>
    <w:rsid w:val="0041373F"/>
    <w:rsid w:val="00420617"/>
    <w:rsid w:val="00423BAE"/>
    <w:rsid w:val="00426F26"/>
    <w:rsid w:val="004303FC"/>
    <w:rsid w:val="00432A94"/>
    <w:rsid w:val="00433BC5"/>
    <w:rsid w:val="00434B77"/>
    <w:rsid w:val="004415BE"/>
    <w:rsid w:val="00454D8A"/>
    <w:rsid w:val="00454E33"/>
    <w:rsid w:val="004569BA"/>
    <w:rsid w:val="004638D1"/>
    <w:rsid w:val="00465450"/>
    <w:rsid w:val="00467103"/>
    <w:rsid w:val="00476653"/>
    <w:rsid w:val="00480B47"/>
    <w:rsid w:val="00483883"/>
    <w:rsid w:val="00484E55"/>
    <w:rsid w:val="004950AF"/>
    <w:rsid w:val="00497075"/>
    <w:rsid w:val="0049790E"/>
    <w:rsid w:val="004A341E"/>
    <w:rsid w:val="004A6A5E"/>
    <w:rsid w:val="004B23AD"/>
    <w:rsid w:val="004B2763"/>
    <w:rsid w:val="004B39A4"/>
    <w:rsid w:val="004C3861"/>
    <w:rsid w:val="004C441B"/>
    <w:rsid w:val="004D0383"/>
    <w:rsid w:val="004D54AC"/>
    <w:rsid w:val="004D61E8"/>
    <w:rsid w:val="004D6536"/>
    <w:rsid w:val="004D6998"/>
    <w:rsid w:val="004D7D68"/>
    <w:rsid w:val="004E5031"/>
    <w:rsid w:val="00500479"/>
    <w:rsid w:val="005032F6"/>
    <w:rsid w:val="005035BC"/>
    <w:rsid w:val="00510692"/>
    <w:rsid w:val="00511B5B"/>
    <w:rsid w:val="0051700E"/>
    <w:rsid w:val="00523C39"/>
    <w:rsid w:val="00525AF4"/>
    <w:rsid w:val="00525BFE"/>
    <w:rsid w:val="00535AAA"/>
    <w:rsid w:val="0053623E"/>
    <w:rsid w:val="00537154"/>
    <w:rsid w:val="0054061E"/>
    <w:rsid w:val="005426CE"/>
    <w:rsid w:val="005463E7"/>
    <w:rsid w:val="00552C22"/>
    <w:rsid w:val="00552D98"/>
    <w:rsid w:val="00556B4E"/>
    <w:rsid w:val="00557C8C"/>
    <w:rsid w:val="00565A55"/>
    <w:rsid w:val="00573324"/>
    <w:rsid w:val="0057393E"/>
    <w:rsid w:val="00576820"/>
    <w:rsid w:val="00577271"/>
    <w:rsid w:val="00581C98"/>
    <w:rsid w:val="005861E7"/>
    <w:rsid w:val="00592926"/>
    <w:rsid w:val="00597910"/>
    <w:rsid w:val="005A300D"/>
    <w:rsid w:val="005A5C00"/>
    <w:rsid w:val="005B044F"/>
    <w:rsid w:val="005B260A"/>
    <w:rsid w:val="005B7649"/>
    <w:rsid w:val="005C2B76"/>
    <w:rsid w:val="005C493D"/>
    <w:rsid w:val="005C4C2C"/>
    <w:rsid w:val="005C5362"/>
    <w:rsid w:val="005D125D"/>
    <w:rsid w:val="005D3DD6"/>
    <w:rsid w:val="005D4069"/>
    <w:rsid w:val="005D6E3C"/>
    <w:rsid w:val="005D7546"/>
    <w:rsid w:val="005E1769"/>
    <w:rsid w:val="005E43F9"/>
    <w:rsid w:val="005F35D5"/>
    <w:rsid w:val="00600352"/>
    <w:rsid w:val="00607886"/>
    <w:rsid w:val="006207A4"/>
    <w:rsid w:val="0062237D"/>
    <w:rsid w:val="00630CBB"/>
    <w:rsid w:val="00631164"/>
    <w:rsid w:val="00636BF4"/>
    <w:rsid w:val="00641BD2"/>
    <w:rsid w:val="00641F45"/>
    <w:rsid w:val="00643DE6"/>
    <w:rsid w:val="0064442C"/>
    <w:rsid w:val="0065051F"/>
    <w:rsid w:val="00652C69"/>
    <w:rsid w:val="00652D6A"/>
    <w:rsid w:val="006572BE"/>
    <w:rsid w:val="006573D1"/>
    <w:rsid w:val="0066489D"/>
    <w:rsid w:val="00664C48"/>
    <w:rsid w:val="006656D4"/>
    <w:rsid w:val="00665C93"/>
    <w:rsid w:val="00667828"/>
    <w:rsid w:val="00673301"/>
    <w:rsid w:val="0067473F"/>
    <w:rsid w:val="0068059D"/>
    <w:rsid w:val="00680627"/>
    <w:rsid w:val="006806F4"/>
    <w:rsid w:val="00680FC0"/>
    <w:rsid w:val="00681A12"/>
    <w:rsid w:val="00685431"/>
    <w:rsid w:val="00694AA8"/>
    <w:rsid w:val="006A0137"/>
    <w:rsid w:val="006A3F4D"/>
    <w:rsid w:val="006A4A50"/>
    <w:rsid w:val="006B1F1A"/>
    <w:rsid w:val="006B7B6A"/>
    <w:rsid w:val="006C004A"/>
    <w:rsid w:val="006C015A"/>
    <w:rsid w:val="006C09C1"/>
    <w:rsid w:val="006C4FB0"/>
    <w:rsid w:val="006D1366"/>
    <w:rsid w:val="006D4B97"/>
    <w:rsid w:val="006D7227"/>
    <w:rsid w:val="006E3643"/>
    <w:rsid w:val="006E37ED"/>
    <w:rsid w:val="006E41AC"/>
    <w:rsid w:val="006E58E1"/>
    <w:rsid w:val="006F47C2"/>
    <w:rsid w:val="006F712C"/>
    <w:rsid w:val="007023C3"/>
    <w:rsid w:val="00703ECF"/>
    <w:rsid w:val="0070704D"/>
    <w:rsid w:val="00707600"/>
    <w:rsid w:val="007077CD"/>
    <w:rsid w:val="00714FC6"/>
    <w:rsid w:val="007174A4"/>
    <w:rsid w:val="0072164C"/>
    <w:rsid w:val="0072260F"/>
    <w:rsid w:val="00722718"/>
    <w:rsid w:val="00730054"/>
    <w:rsid w:val="00731CE9"/>
    <w:rsid w:val="00732D6C"/>
    <w:rsid w:val="0073671A"/>
    <w:rsid w:val="007405D7"/>
    <w:rsid w:val="00742577"/>
    <w:rsid w:val="00744334"/>
    <w:rsid w:val="00751CC0"/>
    <w:rsid w:val="0075438D"/>
    <w:rsid w:val="0075463F"/>
    <w:rsid w:val="00754758"/>
    <w:rsid w:val="00761AE5"/>
    <w:rsid w:val="0076373A"/>
    <w:rsid w:val="007821A2"/>
    <w:rsid w:val="00783D53"/>
    <w:rsid w:val="00784B03"/>
    <w:rsid w:val="007876A5"/>
    <w:rsid w:val="00793F99"/>
    <w:rsid w:val="00796E1A"/>
    <w:rsid w:val="007A2489"/>
    <w:rsid w:val="007A6E45"/>
    <w:rsid w:val="007A7B03"/>
    <w:rsid w:val="007B5459"/>
    <w:rsid w:val="007D2272"/>
    <w:rsid w:val="007D766F"/>
    <w:rsid w:val="007E535F"/>
    <w:rsid w:val="007E72D1"/>
    <w:rsid w:val="007F037D"/>
    <w:rsid w:val="007F5302"/>
    <w:rsid w:val="007F546A"/>
    <w:rsid w:val="007F5808"/>
    <w:rsid w:val="007F7CB2"/>
    <w:rsid w:val="008046A2"/>
    <w:rsid w:val="008102F5"/>
    <w:rsid w:val="008141F8"/>
    <w:rsid w:val="00815D0F"/>
    <w:rsid w:val="00817FAD"/>
    <w:rsid w:val="0082327A"/>
    <w:rsid w:val="00833AED"/>
    <w:rsid w:val="00833C15"/>
    <w:rsid w:val="00841244"/>
    <w:rsid w:val="00846615"/>
    <w:rsid w:val="0085769D"/>
    <w:rsid w:val="0085787B"/>
    <w:rsid w:val="00860211"/>
    <w:rsid w:val="00862642"/>
    <w:rsid w:val="00867F1B"/>
    <w:rsid w:val="00871656"/>
    <w:rsid w:val="00871A76"/>
    <w:rsid w:val="008772C9"/>
    <w:rsid w:val="0088031F"/>
    <w:rsid w:val="00883A98"/>
    <w:rsid w:val="00894162"/>
    <w:rsid w:val="008A5402"/>
    <w:rsid w:val="008A62ED"/>
    <w:rsid w:val="008B49E1"/>
    <w:rsid w:val="008B56DD"/>
    <w:rsid w:val="008B7F9B"/>
    <w:rsid w:val="008C0048"/>
    <w:rsid w:val="008C66BF"/>
    <w:rsid w:val="008C6F65"/>
    <w:rsid w:val="008D1619"/>
    <w:rsid w:val="008D1628"/>
    <w:rsid w:val="008D3D95"/>
    <w:rsid w:val="008D52DA"/>
    <w:rsid w:val="008D5910"/>
    <w:rsid w:val="008E0BC5"/>
    <w:rsid w:val="008F5F19"/>
    <w:rsid w:val="008F609F"/>
    <w:rsid w:val="008F74DB"/>
    <w:rsid w:val="00900C7E"/>
    <w:rsid w:val="00910661"/>
    <w:rsid w:val="009112A2"/>
    <w:rsid w:val="0091214F"/>
    <w:rsid w:val="00920156"/>
    <w:rsid w:val="00920F22"/>
    <w:rsid w:val="00921F78"/>
    <w:rsid w:val="00922397"/>
    <w:rsid w:val="00925CA9"/>
    <w:rsid w:val="00925D0A"/>
    <w:rsid w:val="00931075"/>
    <w:rsid w:val="00932EDD"/>
    <w:rsid w:val="00936B78"/>
    <w:rsid w:val="009430AA"/>
    <w:rsid w:val="0094528E"/>
    <w:rsid w:val="00951C25"/>
    <w:rsid w:val="00954A6F"/>
    <w:rsid w:val="009576D0"/>
    <w:rsid w:val="00961710"/>
    <w:rsid w:val="009621BA"/>
    <w:rsid w:val="009624F2"/>
    <w:rsid w:val="0096256F"/>
    <w:rsid w:val="009634C6"/>
    <w:rsid w:val="00963D7A"/>
    <w:rsid w:val="00964294"/>
    <w:rsid w:val="00972D6F"/>
    <w:rsid w:val="00977195"/>
    <w:rsid w:val="00980F1E"/>
    <w:rsid w:val="009838B4"/>
    <w:rsid w:val="0098542D"/>
    <w:rsid w:val="009874EC"/>
    <w:rsid w:val="00987E1E"/>
    <w:rsid w:val="00991EC1"/>
    <w:rsid w:val="009A0848"/>
    <w:rsid w:val="009A0A00"/>
    <w:rsid w:val="009A1233"/>
    <w:rsid w:val="009A4299"/>
    <w:rsid w:val="009A57C0"/>
    <w:rsid w:val="009A58E3"/>
    <w:rsid w:val="009B1D8A"/>
    <w:rsid w:val="009B23EE"/>
    <w:rsid w:val="009B3A25"/>
    <w:rsid w:val="009B4492"/>
    <w:rsid w:val="009B51D4"/>
    <w:rsid w:val="009C4C15"/>
    <w:rsid w:val="009C7426"/>
    <w:rsid w:val="009D0FE0"/>
    <w:rsid w:val="009D1E97"/>
    <w:rsid w:val="009D5EFA"/>
    <w:rsid w:val="009D79E1"/>
    <w:rsid w:val="009E1BD7"/>
    <w:rsid w:val="009F09E6"/>
    <w:rsid w:val="009F1E78"/>
    <w:rsid w:val="009F3EF3"/>
    <w:rsid w:val="00A006B8"/>
    <w:rsid w:val="00A01DAB"/>
    <w:rsid w:val="00A0235B"/>
    <w:rsid w:val="00A04F27"/>
    <w:rsid w:val="00A12784"/>
    <w:rsid w:val="00A131EC"/>
    <w:rsid w:val="00A14709"/>
    <w:rsid w:val="00A15649"/>
    <w:rsid w:val="00A209DF"/>
    <w:rsid w:val="00A24B14"/>
    <w:rsid w:val="00A3182A"/>
    <w:rsid w:val="00A43C6D"/>
    <w:rsid w:val="00A443BF"/>
    <w:rsid w:val="00A44F8C"/>
    <w:rsid w:val="00A50427"/>
    <w:rsid w:val="00A54C24"/>
    <w:rsid w:val="00A62BA2"/>
    <w:rsid w:val="00A6570A"/>
    <w:rsid w:val="00A73203"/>
    <w:rsid w:val="00A82383"/>
    <w:rsid w:val="00A839BF"/>
    <w:rsid w:val="00A87369"/>
    <w:rsid w:val="00A909A7"/>
    <w:rsid w:val="00A9207F"/>
    <w:rsid w:val="00A93AA2"/>
    <w:rsid w:val="00AA0E08"/>
    <w:rsid w:val="00AA2CE9"/>
    <w:rsid w:val="00AA579C"/>
    <w:rsid w:val="00AB0736"/>
    <w:rsid w:val="00AB0DE7"/>
    <w:rsid w:val="00AB18E0"/>
    <w:rsid w:val="00AB19DB"/>
    <w:rsid w:val="00AB4323"/>
    <w:rsid w:val="00AB47AB"/>
    <w:rsid w:val="00AB65F8"/>
    <w:rsid w:val="00AC250F"/>
    <w:rsid w:val="00AC4126"/>
    <w:rsid w:val="00AC61DF"/>
    <w:rsid w:val="00AD15A5"/>
    <w:rsid w:val="00AD476E"/>
    <w:rsid w:val="00AD753F"/>
    <w:rsid w:val="00AE1FA9"/>
    <w:rsid w:val="00AE4F8D"/>
    <w:rsid w:val="00AE5C44"/>
    <w:rsid w:val="00AF0C1D"/>
    <w:rsid w:val="00AF23AC"/>
    <w:rsid w:val="00B01332"/>
    <w:rsid w:val="00B04D35"/>
    <w:rsid w:val="00B07A3C"/>
    <w:rsid w:val="00B153CC"/>
    <w:rsid w:val="00B15CC5"/>
    <w:rsid w:val="00B170B7"/>
    <w:rsid w:val="00B216B6"/>
    <w:rsid w:val="00B22910"/>
    <w:rsid w:val="00B27CA3"/>
    <w:rsid w:val="00B304F4"/>
    <w:rsid w:val="00B31699"/>
    <w:rsid w:val="00B45A8F"/>
    <w:rsid w:val="00B52E5D"/>
    <w:rsid w:val="00B55649"/>
    <w:rsid w:val="00B60AA5"/>
    <w:rsid w:val="00B619DA"/>
    <w:rsid w:val="00B635E7"/>
    <w:rsid w:val="00B67F2C"/>
    <w:rsid w:val="00B77AB2"/>
    <w:rsid w:val="00B8049D"/>
    <w:rsid w:val="00B83E98"/>
    <w:rsid w:val="00B95A71"/>
    <w:rsid w:val="00B97EBD"/>
    <w:rsid w:val="00BA555E"/>
    <w:rsid w:val="00BA650C"/>
    <w:rsid w:val="00BA72C4"/>
    <w:rsid w:val="00BB0740"/>
    <w:rsid w:val="00BB1409"/>
    <w:rsid w:val="00BB17BD"/>
    <w:rsid w:val="00BB1C27"/>
    <w:rsid w:val="00BB5EEC"/>
    <w:rsid w:val="00BB67FD"/>
    <w:rsid w:val="00BC08C5"/>
    <w:rsid w:val="00BC0F5B"/>
    <w:rsid w:val="00BC5F6A"/>
    <w:rsid w:val="00BC60F1"/>
    <w:rsid w:val="00BD1FE7"/>
    <w:rsid w:val="00BD2581"/>
    <w:rsid w:val="00BD2D38"/>
    <w:rsid w:val="00BD33F4"/>
    <w:rsid w:val="00BD5060"/>
    <w:rsid w:val="00BE1FE7"/>
    <w:rsid w:val="00BE4501"/>
    <w:rsid w:val="00BF0887"/>
    <w:rsid w:val="00BF2D79"/>
    <w:rsid w:val="00BF454C"/>
    <w:rsid w:val="00C03785"/>
    <w:rsid w:val="00C039EE"/>
    <w:rsid w:val="00C1107E"/>
    <w:rsid w:val="00C122F3"/>
    <w:rsid w:val="00C136DD"/>
    <w:rsid w:val="00C1528B"/>
    <w:rsid w:val="00C15D5F"/>
    <w:rsid w:val="00C2111A"/>
    <w:rsid w:val="00C26A97"/>
    <w:rsid w:val="00C26E29"/>
    <w:rsid w:val="00C30B1C"/>
    <w:rsid w:val="00C35C1A"/>
    <w:rsid w:val="00C37752"/>
    <w:rsid w:val="00C401DC"/>
    <w:rsid w:val="00C42E79"/>
    <w:rsid w:val="00C46BEA"/>
    <w:rsid w:val="00C5497A"/>
    <w:rsid w:val="00C54FB4"/>
    <w:rsid w:val="00C54FD8"/>
    <w:rsid w:val="00C6649E"/>
    <w:rsid w:val="00C71444"/>
    <w:rsid w:val="00C7253C"/>
    <w:rsid w:val="00C77D3C"/>
    <w:rsid w:val="00C813E3"/>
    <w:rsid w:val="00C8269C"/>
    <w:rsid w:val="00C833C5"/>
    <w:rsid w:val="00C86816"/>
    <w:rsid w:val="00C91D4F"/>
    <w:rsid w:val="00CA66D2"/>
    <w:rsid w:val="00CB7621"/>
    <w:rsid w:val="00CC7E96"/>
    <w:rsid w:val="00CD0890"/>
    <w:rsid w:val="00CD2077"/>
    <w:rsid w:val="00CD22B3"/>
    <w:rsid w:val="00CD5D89"/>
    <w:rsid w:val="00CF0F95"/>
    <w:rsid w:val="00CF1059"/>
    <w:rsid w:val="00CF1F08"/>
    <w:rsid w:val="00CF57DE"/>
    <w:rsid w:val="00CF5853"/>
    <w:rsid w:val="00D0302E"/>
    <w:rsid w:val="00D0661D"/>
    <w:rsid w:val="00D0791C"/>
    <w:rsid w:val="00D1388B"/>
    <w:rsid w:val="00D17684"/>
    <w:rsid w:val="00D22CC2"/>
    <w:rsid w:val="00D24418"/>
    <w:rsid w:val="00D25179"/>
    <w:rsid w:val="00D26660"/>
    <w:rsid w:val="00D27512"/>
    <w:rsid w:val="00D2794A"/>
    <w:rsid w:val="00D36C9F"/>
    <w:rsid w:val="00D37AF0"/>
    <w:rsid w:val="00D46925"/>
    <w:rsid w:val="00D502A3"/>
    <w:rsid w:val="00D52112"/>
    <w:rsid w:val="00D65CD1"/>
    <w:rsid w:val="00D67FD9"/>
    <w:rsid w:val="00D71651"/>
    <w:rsid w:val="00D76171"/>
    <w:rsid w:val="00D82B3B"/>
    <w:rsid w:val="00D82CA0"/>
    <w:rsid w:val="00D871E3"/>
    <w:rsid w:val="00D87F63"/>
    <w:rsid w:val="00D90A4D"/>
    <w:rsid w:val="00D9352F"/>
    <w:rsid w:val="00D94C99"/>
    <w:rsid w:val="00D94F8F"/>
    <w:rsid w:val="00D953B5"/>
    <w:rsid w:val="00DA76CD"/>
    <w:rsid w:val="00DA77AE"/>
    <w:rsid w:val="00DB1B0E"/>
    <w:rsid w:val="00DB4E13"/>
    <w:rsid w:val="00DB737A"/>
    <w:rsid w:val="00DB7E14"/>
    <w:rsid w:val="00DB7FB1"/>
    <w:rsid w:val="00DD3073"/>
    <w:rsid w:val="00DD55ED"/>
    <w:rsid w:val="00DD7977"/>
    <w:rsid w:val="00DD7DD5"/>
    <w:rsid w:val="00DE3B17"/>
    <w:rsid w:val="00DE618E"/>
    <w:rsid w:val="00DF1DC8"/>
    <w:rsid w:val="00DF5E02"/>
    <w:rsid w:val="00DF62AF"/>
    <w:rsid w:val="00E0209B"/>
    <w:rsid w:val="00E13FFF"/>
    <w:rsid w:val="00E149DC"/>
    <w:rsid w:val="00E16EAF"/>
    <w:rsid w:val="00E215FB"/>
    <w:rsid w:val="00E21EA8"/>
    <w:rsid w:val="00E22F26"/>
    <w:rsid w:val="00E23A6A"/>
    <w:rsid w:val="00E25FAB"/>
    <w:rsid w:val="00E265C7"/>
    <w:rsid w:val="00E27795"/>
    <w:rsid w:val="00E302CB"/>
    <w:rsid w:val="00E30C91"/>
    <w:rsid w:val="00E31642"/>
    <w:rsid w:val="00E31ED6"/>
    <w:rsid w:val="00E33D82"/>
    <w:rsid w:val="00E36E12"/>
    <w:rsid w:val="00E413A0"/>
    <w:rsid w:val="00E4381A"/>
    <w:rsid w:val="00E45F14"/>
    <w:rsid w:val="00E463DB"/>
    <w:rsid w:val="00E535AE"/>
    <w:rsid w:val="00E7797F"/>
    <w:rsid w:val="00E856C7"/>
    <w:rsid w:val="00E85BE4"/>
    <w:rsid w:val="00E869F5"/>
    <w:rsid w:val="00E90238"/>
    <w:rsid w:val="00E90913"/>
    <w:rsid w:val="00E92183"/>
    <w:rsid w:val="00E94247"/>
    <w:rsid w:val="00E96D86"/>
    <w:rsid w:val="00EA0050"/>
    <w:rsid w:val="00EA2A04"/>
    <w:rsid w:val="00EB0DBD"/>
    <w:rsid w:val="00EB4000"/>
    <w:rsid w:val="00EB5B66"/>
    <w:rsid w:val="00EB6F97"/>
    <w:rsid w:val="00EB7712"/>
    <w:rsid w:val="00EC623A"/>
    <w:rsid w:val="00EC71B2"/>
    <w:rsid w:val="00EC76C4"/>
    <w:rsid w:val="00ED0F2A"/>
    <w:rsid w:val="00ED1694"/>
    <w:rsid w:val="00ED40D9"/>
    <w:rsid w:val="00ED66CA"/>
    <w:rsid w:val="00ED72CB"/>
    <w:rsid w:val="00EE1F0E"/>
    <w:rsid w:val="00EE454E"/>
    <w:rsid w:val="00EE52CE"/>
    <w:rsid w:val="00EE690A"/>
    <w:rsid w:val="00EE7891"/>
    <w:rsid w:val="00EF18E7"/>
    <w:rsid w:val="00EF5378"/>
    <w:rsid w:val="00EF6B9B"/>
    <w:rsid w:val="00F00DB9"/>
    <w:rsid w:val="00F02271"/>
    <w:rsid w:val="00F05521"/>
    <w:rsid w:val="00F05FF7"/>
    <w:rsid w:val="00F1065E"/>
    <w:rsid w:val="00F122C4"/>
    <w:rsid w:val="00F2131C"/>
    <w:rsid w:val="00F226B4"/>
    <w:rsid w:val="00F23596"/>
    <w:rsid w:val="00F247A6"/>
    <w:rsid w:val="00F24D4B"/>
    <w:rsid w:val="00F27D16"/>
    <w:rsid w:val="00F33F24"/>
    <w:rsid w:val="00F3434C"/>
    <w:rsid w:val="00F42F44"/>
    <w:rsid w:val="00F433DF"/>
    <w:rsid w:val="00F43DCA"/>
    <w:rsid w:val="00F4774A"/>
    <w:rsid w:val="00F517EF"/>
    <w:rsid w:val="00F56748"/>
    <w:rsid w:val="00F6151E"/>
    <w:rsid w:val="00F76D49"/>
    <w:rsid w:val="00F77581"/>
    <w:rsid w:val="00F87069"/>
    <w:rsid w:val="00F9318A"/>
    <w:rsid w:val="00F960E8"/>
    <w:rsid w:val="00F973D5"/>
    <w:rsid w:val="00FA0882"/>
    <w:rsid w:val="00FA1DD3"/>
    <w:rsid w:val="00FA6004"/>
    <w:rsid w:val="00FB17F0"/>
    <w:rsid w:val="00FB2471"/>
    <w:rsid w:val="00FB4180"/>
    <w:rsid w:val="00FB71B0"/>
    <w:rsid w:val="00FB773B"/>
    <w:rsid w:val="00FC1BDE"/>
    <w:rsid w:val="00FC3615"/>
    <w:rsid w:val="00FC47F4"/>
    <w:rsid w:val="00FC5BD2"/>
    <w:rsid w:val="00FC723C"/>
    <w:rsid w:val="00FD37C9"/>
    <w:rsid w:val="00FD669A"/>
    <w:rsid w:val="00FE2122"/>
    <w:rsid w:val="00FE22F3"/>
    <w:rsid w:val="00FF12E9"/>
    <w:rsid w:val="00FF32F5"/>
    <w:rsid w:val="00FF3DF3"/>
    <w:rsid w:val="00FF622A"/>
    <w:rsid w:val="00FF69DD"/>
    <w:rsid w:val="00FF7707"/>
    <w:rsid w:val="0259623A"/>
    <w:rsid w:val="02825A64"/>
    <w:rsid w:val="08E119CC"/>
    <w:rsid w:val="127F5B19"/>
    <w:rsid w:val="1A812DF6"/>
    <w:rsid w:val="1C834030"/>
    <w:rsid w:val="22AC7AE1"/>
    <w:rsid w:val="277515FD"/>
    <w:rsid w:val="27C736A9"/>
    <w:rsid w:val="2A30536F"/>
    <w:rsid w:val="3319677A"/>
    <w:rsid w:val="342F2680"/>
    <w:rsid w:val="36A70D32"/>
    <w:rsid w:val="38050776"/>
    <w:rsid w:val="3E880B3C"/>
    <w:rsid w:val="40197DDF"/>
    <w:rsid w:val="49134D72"/>
    <w:rsid w:val="51A47C8B"/>
    <w:rsid w:val="55061812"/>
    <w:rsid w:val="5BE702F4"/>
    <w:rsid w:val="5C1F0B24"/>
    <w:rsid w:val="64255802"/>
    <w:rsid w:val="64B90FB7"/>
    <w:rsid w:val="694C7DBA"/>
    <w:rsid w:val="695472AA"/>
    <w:rsid w:val="6AB1731E"/>
    <w:rsid w:val="7051588F"/>
    <w:rsid w:val="74CA5411"/>
    <w:rsid w:val="75916F58"/>
    <w:rsid w:val="79E906FA"/>
    <w:rsid w:val="7AC07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3"/>
    <w:next w:val="1"/>
    <w:link w:val="18"/>
    <w:qFormat/>
    <w:uiPriority w:val="0"/>
    <w:pPr>
      <w:keepNext w:val="0"/>
      <w:keepLines w:val="0"/>
      <w:spacing w:before="0" w:after="0" w:line="240" w:lineRule="auto"/>
      <w:ind w:firstLine="422" w:firstLineChars="200"/>
      <w:outlineLvl w:val="2"/>
    </w:pPr>
    <w:rPr>
      <w:rFonts w:ascii="宋体" w:hAnsi="宋体" w:eastAsia="宋体" w:cs="Times New Roman"/>
      <w:bCs w:val="0"/>
      <w:sz w:val="21"/>
      <w:szCs w:val="2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4"/>
    <w:semiHidden/>
    <w:unhideWhenUsed/>
    <w:qFormat/>
    <w:uiPriority w:val="99"/>
    <w:pPr>
      <w:jc w:val="left"/>
    </w:pPr>
  </w:style>
  <w:style w:type="paragraph" w:styleId="6">
    <w:name w:val="Date"/>
    <w:basedOn w:val="1"/>
    <w:next w:val="1"/>
    <w:link w:val="21"/>
    <w:semiHidden/>
    <w:unhideWhenUsed/>
    <w:qFormat/>
    <w:uiPriority w:val="99"/>
    <w:pPr>
      <w:ind w:left="100" w:leftChars="2500"/>
    </w:pPr>
  </w:style>
  <w:style w:type="paragraph" w:styleId="7">
    <w:name w:val="Balloon Text"/>
    <w:basedOn w:val="1"/>
    <w:link w:val="23"/>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5"/>
    <w:next w:val="5"/>
    <w:link w:val="25"/>
    <w:semiHidden/>
    <w:unhideWhenUsed/>
    <w:qFormat/>
    <w:uiPriority w:val="99"/>
    <w:rPr>
      <w:b/>
      <w:bCs/>
    </w:rPr>
  </w:style>
  <w:style w:type="table" w:styleId="12">
    <w:name w:val="Table Grid"/>
    <w:basedOn w:val="11"/>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annotation reference"/>
    <w:basedOn w:val="13"/>
    <w:semiHidden/>
    <w:unhideWhenUsed/>
    <w:qFormat/>
    <w:uiPriority w:val="99"/>
    <w:rPr>
      <w:sz w:val="21"/>
      <w:szCs w:val="21"/>
    </w:rPr>
  </w:style>
  <w:style w:type="character" w:customStyle="1" w:styleId="15">
    <w:name w:val="页眉 Char"/>
    <w:basedOn w:val="13"/>
    <w:link w:val="9"/>
    <w:qFormat/>
    <w:uiPriority w:val="99"/>
    <w:rPr>
      <w:sz w:val="18"/>
      <w:szCs w:val="18"/>
    </w:rPr>
  </w:style>
  <w:style w:type="character" w:customStyle="1" w:styleId="16">
    <w:name w:val="页脚 Char"/>
    <w:basedOn w:val="13"/>
    <w:link w:val="8"/>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标题 3 Char"/>
    <w:basedOn w:val="13"/>
    <w:link w:val="4"/>
    <w:qFormat/>
    <w:uiPriority w:val="0"/>
    <w:rPr>
      <w:rFonts w:ascii="宋体" w:hAnsi="宋体" w:eastAsia="宋体" w:cs="Times New Roman"/>
      <w:b/>
    </w:rPr>
  </w:style>
  <w:style w:type="character" w:customStyle="1" w:styleId="19">
    <w:name w:val="标题 2 Char"/>
    <w:basedOn w:val="13"/>
    <w:link w:val="3"/>
    <w:semiHidden/>
    <w:qFormat/>
    <w:uiPriority w:val="9"/>
    <w:rPr>
      <w:rFonts w:asciiTheme="majorHAnsi" w:hAnsiTheme="majorHAnsi" w:eastAsiaTheme="majorEastAsia" w:cstheme="majorBidi"/>
      <w:b/>
      <w:bCs/>
      <w:sz w:val="32"/>
      <w:szCs w:val="32"/>
    </w:rPr>
  </w:style>
  <w:style w:type="character" w:customStyle="1" w:styleId="20">
    <w:name w:val="标题 1 Char"/>
    <w:basedOn w:val="13"/>
    <w:link w:val="2"/>
    <w:qFormat/>
    <w:uiPriority w:val="9"/>
    <w:rPr>
      <w:rFonts w:ascii="Calibri" w:hAnsi="Calibri" w:eastAsia="宋体" w:cs="Times New Roman"/>
      <w:b/>
      <w:bCs/>
      <w:kern w:val="44"/>
      <w:sz w:val="44"/>
      <w:szCs w:val="44"/>
    </w:rPr>
  </w:style>
  <w:style w:type="character" w:customStyle="1" w:styleId="21">
    <w:name w:val="日期 Char"/>
    <w:basedOn w:val="13"/>
    <w:link w:val="6"/>
    <w:semiHidden/>
    <w:qFormat/>
    <w:uiPriority w:val="99"/>
    <w:rPr>
      <w:rFonts w:ascii="Calibri" w:hAnsi="Calibri" w:eastAsia="宋体" w:cs="Times New Roman"/>
    </w:rPr>
  </w:style>
  <w:style w:type="table" w:customStyle="1" w:styleId="22">
    <w:name w:val="网格型1"/>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3">
    <w:name w:val="批注框文本 Char"/>
    <w:basedOn w:val="13"/>
    <w:link w:val="7"/>
    <w:semiHidden/>
    <w:qFormat/>
    <w:uiPriority w:val="99"/>
    <w:rPr>
      <w:rFonts w:ascii="Calibri" w:hAnsi="Calibri" w:eastAsia="宋体" w:cs="Times New Roman"/>
      <w:kern w:val="2"/>
      <w:sz w:val="18"/>
      <w:szCs w:val="18"/>
    </w:rPr>
  </w:style>
  <w:style w:type="character" w:customStyle="1" w:styleId="24">
    <w:name w:val="批注文字 Char"/>
    <w:basedOn w:val="13"/>
    <w:link w:val="5"/>
    <w:semiHidden/>
    <w:qFormat/>
    <w:uiPriority w:val="99"/>
    <w:rPr>
      <w:rFonts w:ascii="Calibri" w:hAnsi="Calibri" w:eastAsia="宋体" w:cs="Times New Roman"/>
      <w:kern w:val="2"/>
      <w:sz w:val="21"/>
      <w:szCs w:val="22"/>
    </w:rPr>
  </w:style>
  <w:style w:type="character" w:customStyle="1" w:styleId="25">
    <w:name w:val="批注主题 Char"/>
    <w:basedOn w:val="24"/>
    <w:link w:val="10"/>
    <w:semiHidden/>
    <w:qFormat/>
    <w:uiPriority w:val="99"/>
    <w:rPr>
      <w:rFonts w:ascii="Calibri" w:hAnsi="Calibri" w:eastAsia="宋体" w:cs="Times New Roman"/>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8BEE1F-8C17-4480-82FD-6B71E3B9045D}">
  <ds:schemaRefs/>
</ds:datastoreItem>
</file>

<file path=docProps/app.xml><?xml version="1.0" encoding="utf-8"?>
<Properties xmlns="http://schemas.openxmlformats.org/officeDocument/2006/extended-properties" xmlns:vt="http://schemas.openxmlformats.org/officeDocument/2006/docPropsVTypes">
  <Template>Normal.dotm</Template>
  <Company>Company</Company>
  <Pages>13</Pages>
  <Words>876</Words>
  <Characters>4999</Characters>
  <Lines>41</Lines>
  <Paragraphs>11</Paragraphs>
  <TotalTime>0</TotalTime>
  <ScaleCrop>false</ScaleCrop>
  <LinksUpToDate>false</LinksUpToDate>
  <CharactersWithSpaces>5864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2020-11-11T03:52:00Z</dcterms:created>
  <dc:creator>chaoyuan liang</dc:creator>
  <cp:lastModifiedBy>Administrator</cp:lastModifiedBy>
  <cp:lastPrinted>2019-06-18T02:26:00Z</cp:lastPrinted>
  <dcterms:modified xsi:type="dcterms:W3CDTF">2021-03-06T03:28:01Z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