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00" w:rsidRDefault="00635400" w:rsidP="00635400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635400" w:rsidRDefault="00635400" w:rsidP="00635400">
      <w:pPr>
        <w:jc w:val="center"/>
        <w:rPr>
          <w:rFonts w:ascii="黑体" w:eastAsia="黑体" w:hAnsi="黑体" w:cs="方正小标宋简体" w:hint="eastAsia"/>
          <w:sz w:val="44"/>
          <w:szCs w:val="44"/>
        </w:rPr>
      </w:pPr>
      <w:bookmarkStart w:id="0" w:name="PO_title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黑体" w:eastAsia="黑体" w:hAnsi="黑体" w:cs="方正小标宋简体" w:hint="eastAsia"/>
          <w:sz w:val="44"/>
          <w:szCs w:val="44"/>
        </w:rPr>
        <w:t xml:space="preserve">2020年 </w:t>
      </w:r>
      <w:bookmarkEnd w:id="0"/>
    </w:p>
    <w:p w:rsidR="00635400" w:rsidRDefault="00635400" w:rsidP="006354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6354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1" w:name="PO_title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恩平市无线电监测站</w:t>
      </w:r>
      <w:r>
        <w:rPr>
          <w:rFonts w:ascii="方正小标宋简体" w:eastAsia="方正小标宋简体" w:hAnsi="方正小标宋简体" w:cs="方正小标宋简体" w:hint="eastAsia"/>
          <w:sz w:val="11"/>
          <w:szCs w:val="11"/>
        </w:rPr>
        <w:t xml:space="preserve"> </w:t>
      </w:r>
      <w:bookmarkEnd w:id="1"/>
      <w:r>
        <w:rPr>
          <w:rFonts w:ascii="黑体" w:eastAsia="黑体" w:hAnsi="黑体" w:cs="方正小标宋简体" w:hint="eastAsia"/>
          <w:sz w:val="44"/>
          <w:szCs w:val="44"/>
        </w:rPr>
        <w:t>部门预算</w:t>
      </w:r>
    </w:p>
    <w:p w:rsidR="00635400" w:rsidRDefault="00635400" w:rsidP="00635400">
      <w:pPr>
        <w:jc w:val="center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lastRenderedPageBreak/>
        <w:t>目 录</w:t>
      </w:r>
    </w:p>
    <w:p w:rsidR="00635400" w:rsidRDefault="00635400" w:rsidP="00635400">
      <w:p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 xml:space="preserve">第一部分  </w:t>
      </w:r>
      <w:bookmarkStart w:id="2" w:name="PO_dirDivName1"/>
      <w:r>
        <w:rPr>
          <w:rFonts w:ascii="黑体" w:eastAsia="黑体" w:hAnsi="黑体" w:cs="黑体" w:hint="eastAsia"/>
          <w:b/>
          <w:sz w:val="32"/>
          <w:szCs w:val="32"/>
        </w:rPr>
        <w:t>恩平市无线电监测站</w:t>
      </w:r>
      <w:r>
        <w:rPr>
          <w:rFonts w:ascii="黑体" w:eastAsia="黑体" w:hAnsi="黑体" w:cs="黑体" w:hint="eastAsia"/>
          <w:b/>
          <w:sz w:val="11"/>
          <w:szCs w:val="11"/>
        </w:rPr>
        <w:t xml:space="preserve"> </w:t>
      </w:r>
      <w:bookmarkEnd w:id="2"/>
      <w:r>
        <w:rPr>
          <w:rFonts w:ascii="黑体" w:eastAsia="黑体" w:hAnsi="黑体" w:cs="黑体" w:hint="eastAsia"/>
          <w:b/>
          <w:sz w:val="32"/>
          <w:szCs w:val="32"/>
        </w:rPr>
        <w:t>概况</w:t>
      </w:r>
    </w:p>
    <w:p w:rsidR="00635400" w:rsidRDefault="00635400" w:rsidP="00635400">
      <w:pPr>
        <w:numPr>
          <w:ilvl w:val="0"/>
          <w:numId w:val="1"/>
        </w:num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主要职责</w:t>
      </w:r>
    </w:p>
    <w:p w:rsidR="00635400" w:rsidRDefault="00635400" w:rsidP="00635400">
      <w:pPr>
        <w:numPr>
          <w:ilvl w:val="0"/>
          <w:numId w:val="1"/>
        </w:numPr>
        <w:ind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部门预算构成</w:t>
      </w:r>
    </w:p>
    <w:p w:rsidR="00635400" w:rsidRDefault="00635400" w:rsidP="0063540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 xml:space="preserve">第二部分  </w:t>
      </w:r>
      <w:bookmarkStart w:id="3" w:name="PO_Year1"/>
      <w:r>
        <w:rPr>
          <w:rFonts w:ascii="黑体" w:eastAsia="黑体" w:hAnsi="黑体" w:cs="黑体" w:hint="eastAsia"/>
          <w:b/>
          <w:sz w:val="32"/>
          <w:szCs w:val="32"/>
        </w:rPr>
        <w:t>2020</w:t>
      </w:r>
      <w:r>
        <w:rPr>
          <w:rFonts w:ascii="黑体" w:eastAsia="黑体" w:hAnsi="黑体" w:cs="黑体"/>
          <w:b/>
          <w:sz w:val="11"/>
          <w:szCs w:val="11"/>
        </w:rPr>
        <w:t xml:space="preserve"> </w:t>
      </w:r>
      <w:bookmarkEnd w:id="3"/>
      <w:proofErr w:type="gramStart"/>
      <w:r>
        <w:rPr>
          <w:rFonts w:ascii="黑体" w:eastAsia="黑体" w:hAnsi="黑体" w:cs="黑体" w:hint="eastAsia"/>
          <w:b/>
          <w:sz w:val="32"/>
          <w:szCs w:val="32"/>
        </w:rPr>
        <w:t>年部门</w:t>
      </w:r>
      <w:proofErr w:type="gramEnd"/>
      <w:r>
        <w:rPr>
          <w:rFonts w:ascii="黑体" w:eastAsia="黑体" w:hAnsi="黑体" w:cs="黑体" w:hint="eastAsia"/>
          <w:b/>
          <w:sz w:val="32"/>
          <w:szCs w:val="32"/>
        </w:rPr>
        <w:t>预算表</w:t>
      </w:r>
    </w:p>
    <w:p w:rsidR="00635400" w:rsidRDefault="00635400" w:rsidP="00635400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一、收支总体情况表</w:t>
      </w:r>
    </w:p>
    <w:p w:rsidR="00635400" w:rsidRDefault="00635400" w:rsidP="00635400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二、收入总体情况表</w:t>
      </w:r>
    </w:p>
    <w:p w:rsidR="00635400" w:rsidRDefault="00635400" w:rsidP="00635400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三、支出总体情况表</w:t>
      </w:r>
    </w:p>
    <w:p w:rsidR="00635400" w:rsidRDefault="00635400" w:rsidP="00635400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四、财政拨款收支总体情况表</w:t>
      </w:r>
    </w:p>
    <w:p w:rsidR="00635400" w:rsidRDefault="00635400" w:rsidP="00635400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五、一般公共预算支出情况表（按功能分类科目）</w:t>
      </w:r>
    </w:p>
    <w:p w:rsidR="00635400" w:rsidRDefault="00635400" w:rsidP="00635400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六、一般公共预算基本支出情况表（按经济</w:t>
      </w:r>
      <w:proofErr w:type="gramStart"/>
      <w:r>
        <w:rPr>
          <w:rFonts w:ascii="黑体" w:eastAsia="黑体" w:hAnsi="黑体" w:cs="仿宋_GB2312" w:hint="eastAsia"/>
          <w:sz w:val="32"/>
          <w:szCs w:val="32"/>
        </w:rPr>
        <w:t>分类款级</w:t>
      </w:r>
      <w:proofErr w:type="gramEnd"/>
      <w:r>
        <w:rPr>
          <w:rFonts w:ascii="黑体" w:eastAsia="黑体" w:hAnsi="黑体" w:cs="仿宋_GB2312" w:hint="eastAsia"/>
          <w:sz w:val="32"/>
          <w:szCs w:val="32"/>
        </w:rPr>
        <w:t>科目）</w:t>
      </w:r>
    </w:p>
    <w:p w:rsidR="00635400" w:rsidRDefault="00635400" w:rsidP="00635400">
      <w:pPr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七、财政拨款安排的行政经费及“三公”经费预算表</w:t>
      </w:r>
    </w:p>
    <w:p w:rsidR="00635400" w:rsidRDefault="00635400" w:rsidP="00635400">
      <w:pPr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八、政府性基金预算支出情况表</w:t>
      </w:r>
    </w:p>
    <w:p w:rsidR="00635400" w:rsidRDefault="00635400" w:rsidP="00635400">
      <w:p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 xml:space="preserve">第三部分  </w:t>
      </w:r>
      <w:bookmarkStart w:id="4" w:name="PO_Year2"/>
      <w:r>
        <w:rPr>
          <w:rFonts w:ascii="黑体" w:eastAsia="黑体" w:hAnsi="黑体" w:cs="黑体" w:hint="eastAsia"/>
          <w:b/>
          <w:sz w:val="32"/>
          <w:szCs w:val="32"/>
        </w:rPr>
        <w:t>2020</w:t>
      </w:r>
      <w:r>
        <w:rPr>
          <w:rFonts w:ascii="黑体" w:eastAsia="黑体" w:hAnsi="黑体" w:cs="黑体"/>
          <w:b/>
          <w:sz w:val="11"/>
          <w:szCs w:val="11"/>
        </w:rPr>
        <w:t xml:space="preserve"> </w:t>
      </w:r>
      <w:bookmarkEnd w:id="4"/>
      <w:proofErr w:type="gramStart"/>
      <w:r>
        <w:rPr>
          <w:rFonts w:ascii="黑体" w:eastAsia="黑体" w:hAnsi="黑体" w:cs="黑体" w:hint="eastAsia"/>
          <w:b/>
          <w:sz w:val="32"/>
          <w:szCs w:val="32"/>
        </w:rPr>
        <w:t>年部门</w:t>
      </w:r>
      <w:proofErr w:type="gramEnd"/>
      <w:r>
        <w:rPr>
          <w:rFonts w:ascii="黑体" w:eastAsia="黑体" w:hAnsi="黑体" w:cs="黑体" w:hint="eastAsia"/>
          <w:b/>
          <w:sz w:val="32"/>
          <w:szCs w:val="32"/>
        </w:rPr>
        <w:t>预算情况说明</w:t>
      </w:r>
    </w:p>
    <w:p w:rsidR="00635400" w:rsidRDefault="00635400" w:rsidP="00635400">
      <w:pPr>
        <w:ind w:firstLineChars="200" w:firstLine="643"/>
        <w:rPr>
          <w:rFonts w:ascii="黑体" w:eastAsia="黑体" w:hAnsi="黑体" w:cs="黑体" w:hint="eastAsia"/>
          <w:b/>
          <w:sz w:val="32"/>
          <w:szCs w:val="32"/>
        </w:rPr>
        <w:sectPr w:rsidR="006354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b/>
          <w:sz w:val="32"/>
          <w:szCs w:val="32"/>
        </w:rPr>
        <w:t>第四部分  名词解释</w:t>
      </w:r>
    </w:p>
    <w:p w:rsidR="00635400" w:rsidRDefault="00635400" w:rsidP="006354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lastRenderedPageBreak/>
        <w:t xml:space="preserve">第一部分  </w:t>
      </w:r>
      <w:bookmarkStart w:id="5" w:name="PO_part1DivName1"/>
      <w:r>
        <w:rPr>
          <w:rFonts w:ascii="黑体" w:eastAsia="黑体" w:hAnsi="黑体" w:cs="方正小标宋简体" w:hint="eastAsia"/>
          <w:sz w:val="44"/>
          <w:szCs w:val="44"/>
        </w:rPr>
        <w:t>恩平市无线电监测站</w:t>
      </w:r>
      <w:r>
        <w:rPr>
          <w:rFonts w:ascii="方正小标宋简体" w:eastAsia="方正小标宋简体" w:hAnsi="方正小标宋简体" w:cs="方正小标宋简体"/>
          <w:sz w:val="11"/>
          <w:szCs w:val="11"/>
        </w:rPr>
        <w:t xml:space="preserve"> </w:t>
      </w:r>
      <w:bookmarkEnd w:id="5"/>
      <w:r>
        <w:rPr>
          <w:rFonts w:ascii="黑体" w:eastAsia="黑体" w:hAnsi="黑体" w:cs="方正小标宋简体" w:hint="eastAsia"/>
          <w:sz w:val="44"/>
          <w:szCs w:val="44"/>
        </w:rPr>
        <w:t>概况</w:t>
      </w:r>
    </w:p>
    <w:p w:rsidR="00635400" w:rsidRDefault="00635400" w:rsidP="00635400">
      <w:pPr>
        <w:rPr>
          <w:rFonts w:ascii="黑体" w:eastAsia="黑体" w:hAnsi="黑体" w:cs="黑体"/>
          <w:sz w:val="44"/>
          <w:szCs w:val="44"/>
        </w:rPr>
      </w:pPr>
    </w:p>
    <w:p w:rsidR="00635400" w:rsidRDefault="00635400" w:rsidP="00635400">
      <w:pPr>
        <w:numPr>
          <w:ilvl w:val="0"/>
          <w:numId w:val="2"/>
        </w:num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主要职责</w:t>
      </w:r>
    </w:p>
    <w:p w:rsidR="00635400" w:rsidRPr="00E67A00" w:rsidRDefault="00635400" w:rsidP="006354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bookmarkStart w:id="6" w:name="PO_part1Responsibilities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FC5EE5">
        <w:rPr>
          <w:rFonts w:ascii="仿宋_GB2312" w:eastAsia="仿宋_GB2312" w:hAnsi="仿宋_GB2312" w:cs="仿宋_GB2312"/>
          <w:sz w:val="32"/>
          <w:szCs w:val="32"/>
        </w:rPr>
        <w:t>恩平市无线电监测站是公益一类的正股级事业单位。主要职能：对市内无线电发射信号实施监测，及时掌握电磁环境情况，为市无线电管理办公室申请台（站）设置和频率指</w:t>
      </w:r>
      <w:proofErr w:type="gramStart"/>
      <w:r w:rsidRPr="00FC5EE5">
        <w:rPr>
          <w:rFonts w:ascii="仿宋_GB2312" w:eastAsia="仿宋_GB2312" w:hAnsi="仿宋_GB2312" w:cs="仿宋_GB2312"/>
          <w:sz w:val="32"/>
          <w:szCs w:val="32"/>
        </w:rPr>
        <w:t>配提供</w:t>
      </w:r>
      <w:proofErr w:type="gramEnd"/>
      <w:r w:rsidRPr="00FC5EE5">
        <w:rPr>
          <w:rFonts w:ascii="仿宋_GB2312" w:eastAsia="仿宋_GB2312" w:hAnsi="仿宋_GB2312" w:cs="仿宋_GB2312"/>
          <w:sz w:val="32"/>
          <w:szCs w:val="32"/>
        </w:rPr>
        <w:t>技术依据等</w:t>
      </w:r>
    </w:p>
    <w:p w:rsidR="00635400" w:rsidRPr="006E5E8C" w:rsidRDefault="00635400" w:rsidP="0063540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（二）恩平市无线电监测站内设职能机构1个，单位编制3人，(事业编制3名)，实有2人。</w:t>
      </w:r>
    </w:p>
    <w:p w:rsidR="00635400" w:rsidRDefault="00635400" w:rsidP="00635400">
      <w:pPr>
        <w:ind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vanish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bookmarkEnd w:id="6"/>
    </w:p>
    <w:p w:rsidR="00635400" w:rsidRDefault="00635400" w:rsidP="00635400">
      <w:pPr>
        <w:numPr>
          <w:ilvl w:val="0"/>
          <w:numId w:val="2"/>
        </w:numPr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部门预算构成</w:t>
      </w:r>
    </w:p>
    <w:p w:rsidR="00635400" w:rsidRDefault="00635400" w:rsidP="006354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bookmarkStart w:id="7" w:name="PO_part1Organization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本部门无下属单位，部门预算为县本级预算</w:t>
      </w:r>
      <w:r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vanish/>
          <w:sz w:val="32"/>
          <w:szCs w:val="32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黑体" w:eastAsia="黑体" w:hAnsi="黑体" w:cs="仿宋_GB2312" w:hint="eastAsia"/>
          <w:vanish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bookmarkEnd w:id="7"/>
    <w:p w:rsidR="00635400" w:rsidRDefault="00635400" w:rsidP="006354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6354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35400" w:rsidRDefault="00635400" w:rsidP="00635400">
      <w:pPr>
        <w:tabs>
          <w:tab w:val="center" w:pos="6979"/>
        </w:tabs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lastRenderedPageBreak/>
        <w:tab/>
      </w:r>
      <w:r>
        <w:rPr>
          <w:rFonts w:ascii="黑体" w:eastAsia="黑体" w:hAnsi="黑体" w:cs="方正小标宋简体" w:hint="eastAsia"/>
          <w:sz w:val="44"/>
          <w:szCs w:val="44"/>
        </w:rPr>
        <w:t xml:space="preserve">第二部分  </w:t>
      </w:r>
      <w:bookmarkStart w:id="8" w:name="PO_part2Year1"/>
      <w:r>
        <w:rPr>
          <w:rFonts w:ascii="黑体" w:eastAsia="黑体" w:hAnsi="黑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/>
          <w:sz w:val="11"/>
          <w:szCs w:val="11"/>
        </w:rPr>
        <w:t xml:space="preserve"> </w:t>
      </w:r>
      <w:bookmarkEnd w:id="8"/>
      <w:proofErr w:type="gramStart"/>
      <w:r>
        <w:rPr>
          <w:rFonts w:ascii="黑体" w:eastAsia="黑体" w:hAnsi="黑体" w:cs="方正小标宋简体" w:hint="eastAsia"/>
          <w:sz w:val="44"/>
          <w:szCs w:val="44"/>
        </w:rPr>
        <w:t>年部门</w:t>
      </w:r>
      <w:proofErr w:type="gramEnd"/>
      <w:r>
        <w:rPr>
          <w:rFonts w:ascii="黑体" w:eastAsia="黑体" w:hAnsi="黑体" w:cs="方正小标宋简体" w:hint="eastAsia"/>
          <w:sz w:val="44"/>
          <w:szCs w:val="44"/>
        </w:rPr>
        <w:t>预算表</w:t>
      </w:r>
    </w:p>
    <w:p w:rsidR="00635400" w:rsidRDefault="00635400" w:rsidP="00635400">
      <w:pPr>
        <w:jc w:val="left"/>
        <w:rPr>
          <w:rFonts w:hint="eastAsia"/>
        </w:rPr>
      </w:pPr>
      <w:bookmarkStart w:id="9" w:name="PO_part2Table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543"/>
        <w:gridCol w:w="3544"/>
        <w:gridCol w:w="3544"/>
      </w:tblGrid>
      <w:tr w:rsidR="00635400" w:rsidTr="00CF1569">
        <w:trPr>
          <w:cantSplit/>
          <w:trHeight w:val="431"/>
          <w:tblHeader/>
        </w:trPr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表1</w:t>
            </w:r>
          </w:p>
        </w:tc>
      </w:tr>
      <w:tr w:rsidR="00635400" w:rsidTr="00CF1569">
        <w:trPr>
          <w:cantSplit/>
          <w:trHeight w:val="431"/>
          <w:tblHeader/>
        </w:trPr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收支总体情况表</w:t>
            </w:r>
          </w:p>
        </w:tc>
      </w:tr>
      <w:tr w:rsidR="00635400" w:rsidTr="00CF1569">
        <w:trPr>
          <w:cantSplit/>
          <w:trHeight w:val="431"/>
          <w:tblHeader/>
        </w:trPr>
        <w:tc>
          <w:tcPr>
            <w:tcW w:w="10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lef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10" w:name="PO_part2Table1DivName1"/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恩平市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无线电监测站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End w:id="1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35400" w:rsidTr="00CF1569">
        <w:trPr>
          <w:cantSplit/>
          <w:trHeight w:val="431"/>
          <w:tblHeader/>
        </w:trPr>
        <w:tc>
          <w:tcPr>
            <w:tcW w:w="70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收        入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支        出</w:t>
            </w:r>
          </w:p>
        </w:tc>
      </w:tr>
      <w:tr w:rsidR="00635400" w:rsidRPr="009C5CBB" w:rsidTr="00CF1569">
        <w:trPr>
          <w:cantSplit/>
          <w:trHeight w:val="431"/>
          <w:tblHeader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预算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预算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一、预算拨款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二、财政专户拨款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三、其他资金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九、卫生健康支出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十、节能环保支出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十一、城乡社区支出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十二、农林水支出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十三、交通运输支出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十四、资源勘探工业信息等支出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十五、商业服务业等支出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十六、金融支出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十七、援助其他地区支出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十八、自然资源海洋气象等支出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十九、住房保障支出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二十、粮油物资储备支出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二十一、灾害防治及应急管理支出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二十二、其他支出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四、上级补助收入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二十三、对附属单位补助支出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五、附属单位上缴收入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二十四、上缴上级支出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六、用事业基金弥补收支差额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二十五、结转下年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</w:tr>
    </w:tbl>
    <w:bookmarkEnd w:id="9"/>
    <w:p w:rsidR="00635400" w:rsidRDefault="00635400" w:rsidP="00635400">
      <w:pPr>
        <w:widowControl/>
        <w:textAlignment w:val="center"/>
        <w:rPr>
          <w:rFonts w:ascii="宋体" w:hAnsi="宋体" w:cs="宋体" w:hint="eastAsia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>注：</w:t>
      </w:r>
      <w:bookmarkStart w:id="11" w:name="PO_part2Table1Remark1"/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 xml:space="preserve"> 财政拨款收支情况包括一般公共预算、政府性基金预算、国有资本经营预算拨款收支情况。 </w:t>
      </w:r>
      <w:bookmarkEnd w:id="11"/>
    </w:p>
    <w:p w:rsidR="00635400" w:rsidRDefault="00635400" w:rsidP="00635400">
      <w:pPr>
        <w:sectPr w:rsidR="0063540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635400" w:rsidRDefault="00635400" w:rsidP="00635400">
      <w:pPr>
        <w:rPr>
          <w:rFonts w:hint="eastAsia"/>
        </w:rPr>
      </w:pPr>
      <w:bookmarkStart w:id="12" w:name="PO_part2Table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575"/>
        <w:gridCol w:w="1283"/>
        <w:gridCol w:w="949"/>
        <w:gridCol w:w="939"/>
        <w:gridCol w:w="1025"/>
        <w:gridCol w:w="982"/>
        <w:gridCol w:w="894"/>
        <w:gridCol w:w="982"/>
        <w:gridCol w:w="949"/>
        <w:gridCol w:w="949"/>
        <w:gridCol w:w="939"/>
        <w:gridCol w:w="894"/>
        <w:gridCol w:w="867"/>
      </w:tblGrid>
      <w:tr w:rsidR="00635400" w:rsidTr="00CF1569">
        <w:trPr>
          <w:cantSplit/>
          <w:trHeight w:val="431"/>
          <w:tblHeader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表2</w:t>
            </w:r>
          </w:p>
        </w:tc>
      </w:tr>
      <w:tr w:rsidR="00635400" w:rsidTr="00CF1569">
        <w:trPr>
          <w:cantSplit/>
          <w:trHeight w:val="431"/>
          <w:tblHeader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收入总体情况表</w:t>
            </w:r>
          </w:p>
        </w:tc>
      </w:tr>
      <w:tr w:rsidR="00635400" w:rsidTr="00CF1569">
        <w:trPr>
          <w:cantSplit/>
          <w:trHeight w:val="431"/>
          <w:tblHeader/>
        </w:trPr>
        <w:tc>
          <w:tcPr>
            <w:tcW w:w="114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lef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13" w:name="PO_part2Table2DivName1"/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恩平市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无线电监测站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End w:id="13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35400" w:rsidRPr="009C5CBB" w:rsidTr="00CF1569">
        <w:trPr>
          <w:cantSplit/>
          <w:trHeight w:val="431"/>
          <w:tblHeader/>
        </w:trPr>
        <w:tc>
          <w:tcPr>
            <w:tcW w:w="25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财政拨款收入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财政专户拨款收入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其他资金收入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附属单位上缴收入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用事业基金弥补收支差额</w:t>
            </w:r>
          </w:p>
        </w:tc>
      </w:tr>
      <w:tr w:rsidR="00635400" w:rsidTr="00CF1569">
        <w:trPr>
          <w:cantSplit/>
          <w:trHeight w:val="431"/>
          <w:tblHeader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教育收费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其他专户收入拨款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经营收入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939" w:type="dxa"/>
            <w:vMerge/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</w:tcPr>
          <w:p w:rsidR="00635400" w:rsidRDefault="00635400" w:rsidP="00CF1569">
            <w:pPr>
              <w:rPr>
                <w:rFonts w:hint="eastAsia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20899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其他社会保障和就业支出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2089901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其他社会保障和就业支出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21011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210110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2101103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/>
                <w:color w:val="000000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21505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工业和信息产业监管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215050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机关服务（工业和信息产业监管）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住房保障支出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22102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94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住房公积金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bookmarkEnd w:id="12"/>
    <w:p w:rsidR="00635400" w:rsidRDefault="00635400" w:rsidP="00635400">
      <w:pP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sectPr w:rsidR="0063540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>注：</w:t>
      </w:r>
      <w:bookmarkStart w:id="14" w:name="PO_part1remark2"/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 xml:space="preserve"> 根据预算实际情况编制 </w:t>
      </w:r>
      <w:bookmarkEnd w:id="14"/>
    </w:p>
    <w:p w:rsidR="00635400" w:rsidRDefault="00635400" w:rsidP="00635400">
      <w:pPr>
        <w:rPr>
          <w:rFonts w:hint="eastAsia"/>
        </w:rPr>
      </w:pPr>
      <w:bookmarkStart w:id="15" w:name="PO_part2Table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625"/>
        <w:gridCol w:w="1365"/>
        <w:gridCol w:w="1155"/>
        <w:gridCol w:w="1257"/>
        <w:gridCol w:w="1575"/>
        <w:gridCol w:w="1575"/>
        <w:gridCol w:w="1575"/>
        <w:gridCol w:w="1575"/>
      </w:tblGrid>
      <w:tr w:rsidR="00635400" w:rsidTr="00CF1569">
        <w:trPr>
          <w:cantSplit/>
          <w:trHeight w:val="425"/>
          <w:tblHeader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表3</w:t>
            </w:r>
          </w:p>
        </w:tc>
      </w:tr>
      <w:tr w:rsidR="00635400" w:rsidTr="00CF1569">
        <w:trPr>
          <w:cantSplit/>
          <w:trHeight w:val="425"/>
          <w:tblHeader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b/>
                <w:bCs/>
                <w:color w:val="000000"/>
                <w:kern w:val="0"/>
                <w:sz w:val="26"/>
                <w:szCs w:val="26"/>
              </w:rPr>
              <w:t>支出总体情况表</w:t>
            </w:r>
          </w:p>
        </w:tc>
      </w:tr>
      <w:tr w:rsidR="00635400" w:rsidTr="00CF1569">
        <w:trPr>
          <w:cantSplit/>
          <w:trHeight w:val="425"/>
          <w:tblHeader/>
        </w:trPr>
        <w:tc>
          <w:tcPr>
            <w:tcW w:w="12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lef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16" w:name="PO_part2Table3DivName1"/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恩平市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无线电监测站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End w:id="16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35400" w:rsidRPr="009C5CBB" w:rsidTr="00CF1569">
        <w:trPr>
          <w:cantSplit/>
          <w:trHeight w:val="425"/>
          <w:tblHeader/>
        </w:trPr>
        <w:tc>
          <w:tcPr>
            <w:tcW w:w="40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事业单位经营支出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对附属单位补助支出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上缴上级支出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结转下年</w:t>
            </w:r>
          </w:p>
        </w:tc>
      </w:tr>
      <w:tr w:rsidR="00635400" w:rsidTr="00CF1569">
        <w:trPr>
          <w:cantSplit/>
          <w:trHeight w:val="425"/>
          <w:tblHeader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</w:tcPr>
          <w:p w:rsidR="00635400" w:rsidRDefault="00635400" w:rsidP="00CF1569">
            <w:pPr>
              <w:rPr>
                <w:rFonts w:hint="eastAsia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社会保障和就业支出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20899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其他社会保障和就业支出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2089901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其他社会保障和就业支出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卫生健康支出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行政事业单位医疗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2101102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事业单位医疗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2101103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公务员医疗补助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5306E8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5306E8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5306E8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21505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工业和信息产业监管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5306E8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5306E8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5306E8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2150503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机关服务（工业和信息产业监管）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5306E8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5306E8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5306E8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5B48B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5B48B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5B48B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5B48B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22102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5B48B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5B48B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5B48B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5B48B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25"/>
        </w:trPr>
        <w:tc>
          <w:tcPr>
            <w:tcW w:w="1473" w:type="dxa"/>
            <w:shd w:val="clear" w:color="auto" w:fill="auto"/>
            <w:vAlign w:val="center"/>
          </w:tcPr>
          <w:p w:rsidR="00635400" w:rsidRPr="009C5CBB" w:rsidRDefault="00635400" w:rsidP="00CF1569">
            <w:pP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5B48B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5B48B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5B48B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5B48B5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5B48B5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bookmarkEnd w:id="15"/>
    <w:p w:rsidR="00635400" w:rsidRDefault="00635400" w:rsidP="00635400">
      <w:pPr>
        <w:rPr>
          <w:rFonts w:hint="eastAsia"/>
        </w:rPr>
        <w:sectPr w:rsidR="0063540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>注：</w:t>
      </w:r>
      <w:bookmarkStart w:id="17" w:name="PO_part2Table1Remark3"/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 xml:space="preserve"> 根据预算实际编制 </w:t>
      </w:r>
      <w:bookmarkEnd w:id="17"/>
    </w:p>
    <w:p w:rsidR="00635400" w:rsidRDefault="00635400" w:rsidP="00635400">
      <w:pPr>
        <w:rPr>
          <w:rFonts w:hint="eastAsia"/>
        </w:rPr>
      </w:pPr>
      <w:bookmarkStart w:id="18" w:name="PO_part2Table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3"/>
        <w:gridCol w:w="3544"/>
        <w:gridCol w:w="3544"/>
      </w:tblGrid>
      <w:tr w:rsidR="00635400" w:rsidTr="00CF1569">
        <w:trPr>
          <w:cantSplit/>
          <w:trHeight w:val="431"/>
          <w:tblHeader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表4</w:t>
            </w:r>
          </w:p>
        </w:tc>
      </w:tr>
      <w:tr w:rsidR="00635400" w:rsidTr="00CF1569">
        <w:trPr>
          <w:cantSplit/>
          <w:trHeight w:val="431"/>
          <w:tblHeader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财政拨款收支总体情况表</w:t>
            </w:r>
          </w:p>
        </w:tc>
      </w:tr>
      <w:tr w:rsidR="00635400" w:rsidTr="00CF1569">
        <w:trPr>
          <w:cantSplit/>
          <w:trHeight w:val="431"/>
          <w:tblHeader/>
        </w:trPr>
        <w:tc>
          <w:tcPr>
            <w:tcW w:w="10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lef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19" w:name="PO_part2Table4DivName1"/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恩平市无线电监测站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End w:id="19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35400" w:rsidRPr="009C5CBB" w:rsidTr="00CF1569">
        <w:trPr>
          <w:cantSplit/>
          <w:trHeight w:val="431"/>
          <w:tblHeader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收        入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支        出</w:t>
            </w:r>
          </w:p>
        </w:tc>
      </w:tr>
      <w:tr w:rsidR="00635400" w:rsidRPr="009C5CBB" w:rsidTr="00CF1569">
        <w:trPr>
          <w:cantSplit/>
          <w:trHeight w:val="43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预算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预算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一、一般公共预算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二、政府性基金预算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三、国有资本经营预算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九、卫生健康支出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十、节能环保支出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十一、城乡社区支出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十二、农林水支出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十三、交通运输支出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十四、资源勘探工业信息等支出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十五、商业服务业等支出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十六、金融支出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十七、援助其他地区支出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十八、自然资源海洋气象等支出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十九、住房保障支出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二十、粮油物资储备支出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二十一、灾害防治及应急管理支出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二十二、其他支出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二十三、结转下年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</w:tr>
    </w:tbl>
    <w:bookmarkEnd w:id="18"/>
    <w:p w:rsidR="00635400" w:rsidRDefault="00635400" w:rsidP="00635400">
      <w:pPr>
        <w:sectPr w:rsidR="0063540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>注：</w:t>
      </w:r>
      <w:bookmarkStart w:id="20" w:name="PO_part1remark4"/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 xml:space="preserve"> 表中功能分类科目，根据各部门实际预算编制情况编列。 </w:t>
      </w:r>
      <w:bookmarkEnd w:id="20"/>
    </w:p>
    <w:p w:rsidR="00635400" w:rsidRDefault="00635400" w:rsidP="00635400">
      <w:pPr>
        <w:rPr>
          <w:rFonts w:hint="eastAsia"/>
        </w:rPr>
      </w:pPr>
      <w:bookmarkStart w:id="21" w:name="PO_part2Table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199"/>
        <w:gridCol w:w="476"/>
        <w:gridCol w:w="2310"/>
        <w:gridCol w:w="4302"/>
      </w:tblGrid>
      <w:tr w:rsidR="00635400" w:rsidTr="00CF1569">
        <w:trPr>
          <w:cantSplit/>
          <w:trHeight w:val="397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表5</w:t>
            </w:r>
          </w:p>
        </w:tc>
      </w:tr>
      <w:tr w:rsidR="00635400" w:rsidTr="00CF1569">
        <w:trPr>
          <w:cantSplit/>
          <w:trHeight w:val="397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一般公共预算支出情况表（按功能分类科目）</w:t>
            </w:r>
          </w:p>
        </w:tc>
      </w:tr>
      <w:tr w:rsidR="00635400" w:rsidTr="00CF1569">
        <w:trPr>
          <w:cantSplit/>
          <w:trHeight w:val="397"/>
          <w:tblHeader/>
        </w:trPr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lef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22" w:name="PO_part2Table5DivName1"/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恩平市无线电监测站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End w:id="22"/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35400" w:rsidTr="00CF1569">
        <w:trPr>
          <w:cantSplit/>
          <w:trHeight w:val="397"/>
          <w:tblHeader/>
        </w:trPr>
        <w:tc>
          <w:tcPr>
            <w:tcW w:w="38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功能科目名称</w:t>
            </w:r>
          </w:p>
        </w:tc>
        <w:tc>
          <w:tcPr>
            <w:tcW w:w="1028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</w:tr>
      <w:tr w:rsidR="00635400" w:rsidRPr="009C5CBB" w:rsidTr="00CF1569">
        <w:trPr>
          <w:cantSplit/>
          <w:trHeight w:val="397"/>
          <w:tblHeader/>
        </w:trPr>
        <w:tc>
          <w:tcPr>
            <w:tcW w:w="3888" w:type="dxa"/>
            <w:vMerge/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其中：基本支出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30.83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08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20899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其他社会保障和就业支出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2089901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其他社会保障和就业支出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[21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[21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01102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[21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01103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[21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[21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505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工业和信息产业监管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0.02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[21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50503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无线电监管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0.02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221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2102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397"/>
        </w:trPr>
        <w:tc>
          <w:tcPr>
            <w:tcW w:w="3888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210201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bookmarkEnd w:id="21"/>
    <w:p w:rsidR="00635400" w:rsidRDefault="00635400" w:rsidP="00635400">
      <w:pPr>
        <w:rPr>
          <w:rFonts w:hint="eastAsia"/>
        </w:rPr>
        <w:sectPr w:rsidR="0063540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>注：</w:t>
      </w:r>
      <w:bookmarkStart w:id="23" w:name="PO_part1remark5"/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 xml:space="preserve"> 根据预算实际编制 </w:t>
      </w:r>
      <w:bookmarkEnd w:id="23"/>
    </w:p>
    <w:p w:rsidR="00635400" w:rsidRDefault="00635400" w:rsidP="00635400">
      <w:pPr>
        <w:rPr>
          <w:rFonts w:hint="eastAsia"/>
        </w:rPr>
      </w:pPr>
      <w:bookmarkStart w:id="24" w:name="PO_part2Table6and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725"/>
        <w:gridCol w:w="4725"/>
      </w:tblGrid>
      <w:tr w:rsidR="00635400" w:rsidTr="00CF1569">
        <w:trPr>
          <w:cantSplit/>
          <w:trHeight w:val="431"/>
          <w:tblHeader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表6</w:t>
            </w:r>
          </w:p>
        </w:tc>
      </w:tr>
      <w:tr w:rsidR="00635400" w:rsidTr="00CF1569">
        <w:trPr>
          <w:cantSplit/>
          <w:trHeight w:val="431"/>
          <w:tblHeader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一般公共预算基本支出情况表（按经济</w:t>
            </w:r>
            <w:proofErr w:type="gramStart"/>
            <w:r w:rsidRPr="009C5CB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分类款级</w:t>
            </w:r>
            <w:proofErr w:type="gramEnd"/>
            <w:r w:rsidRPr="009C5CB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科目）</w:t>
            </w:r>
          </w:p>
        </w:tc>
      </w:tr>
      <w:tr w:rsidR="00635400" w:rsidTr="00CF1569">
        <w:trPr>
          <w:cantSplit/>
          <w:trHeight w:val="431"/>
          <w:tblHeader/>
        </w:trPr>
        <w:tc>
          <w:tcPr>
            <w:tcW w:w="9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lef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25" w:name="PO_part2Table6DivName1"/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恩平市无线电监测站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End w:id="25"/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35400" w:rsidRPr="009C5CBB" w:rsidTr="00CF1569">
        <w:trPr>
          <w:cantSplit/>
          <w:trHeight w:val="431"/>
          <w:tblHeader/>
        </w:trPr>
        <w:tc>
          <w:tcPr>
            <w:tcW w:w="4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部门预算支出经济科目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政府预算支出经济科目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预算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</w:tcPr>
          <w:p w:rsidR="00635400" w:rsidRDefault="00635400" w:rsidP="00CF1569">
            <w:pPr>
              <w:rPr>
                <w:rFonts w:hint="eastAsia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25.91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[301]工资福利支出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[501]机关工资福利支出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25.91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[30101]基本工资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[50101]工资奖金津补贴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12.02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[30102]津贴补贴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[50101]工资奖金津补贴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2.59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[30103]奖金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[50101]工资奖金津补贴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4.85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[30108]机关事业单位基本养老保险缴费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[50102]社会保障缴费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1.81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[30109]职业年金缴费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[50102]社会保障缴费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0.90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[30110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职工基本医疗保险缴费</w:t>
            </w:r>
            <w:r w:rsidRPr="009C5CBB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[50102]社会保障缴费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0.78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[30111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公务员医疗补助缴费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[50102]社会保障缴费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1.42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[30112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其他社会保障缴费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[50102]社会保障缴费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0.18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[30113]住房公积金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[50103]住房公积金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1.36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[302]商品和服务支出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[502]机关商品和服务支出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2.60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差旅费</w:t>
            </w:r>
            <w:r w:rsidRPr="009C5CBB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[505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 商品和服务支出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0.50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[30216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培训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费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[505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 商品和服务支出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1.30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[302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28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工会经费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[505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 商品和服务支出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0.50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[30239]其他交通费用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[505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 商品和服务支出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0.10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9]其他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经费商品和服务支出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[505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] 商品和服务支出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0.20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[303]对个人和家庭的补助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[509]对个人和家庭的补助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2.32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[30399]其他对个人和家庭的补助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[50999]其他对个人和家庭的补助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2.32</w:t>
            </w:r>
          </w:p>
        </w:tc>
      </w:tr>
    </w:tbl>
    <w:bookmarkEnd w:id="24"/>
    <w:p w:rsidR="00635400" w:rsidRDefault="00635400" w:rsidP="00635400">
      <w:pP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sectPr w:rsidR="0063540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>注：</w:t>
      </w:r>
      <w:bookmarkStart w:id="26" w:name="PO_part1remark6"/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 xml:space="preserve"> 按预算实际编制 </w:t>
      </w:r>
      <w:bookmarkEnd w:id="26"/>
    </w:p>
    <w:p w:rsidR="00635400" w:rsidRDefault="00635400" w:rsidP="00635400">
      <w:pPr>
        <w:rPr>
          <w:rFonts w:hint="eastAsia"/>
        </w:rPr>
      </w:pPr>
      <w:bookmarkStart w:id="27" w:name="PO_part2Table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1785"/>
        <w:gridCol w:w="1575"/>
        <w:gridCol w:w="1575"/>
        <w:gridCol w:w="3881"/>
      </w:tblGrid>
      <w:tr w:rsidR="00635400" w:rsidTr="00CF1569">
        <w:trPr>
          <w:cantSplit/>
          <w:trHeight w:val="431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表7</w:t>
            </w:r>
          </w:p>
        </w:tc>
      </w:tr>
      <w:tr w:rsidR="00635400" w:rsidTr="00CF1569">
        <w:trPr>
          <w:cantSplit/>
          <w:trHeight w:val="431"/>
          <w:tblHeader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center"/>
              <w:rPr>
                <w:rFonts w:hint="eastAsia"/>
              </w:rPr>
            </w:pPr>
            <w:r w:rsidRPr="009C5CBB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 w:rsidR="00635400" w:rsidTr="00CF1569">
        <w:trPr>
          <w:cantSplit/>
          <w:trHeight w:val="431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lef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28" w:name="PO_part2Table8DivName1"/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恩平市支出无线电监测站</w:t>
            </w: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End w:id="28"/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5400" w:rsidRDefault="00635400" w:rsidP="00CF1569">
            <w:pPr>
              <w:jc w:val="right"/>
              <w:rPr>
                <w:rFonts w:hint="eastAsia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635400" w:rsidRPr="009C5CBB" w:rsidTr="00CF1569">
        <w:trPr>
          <w:cantSplit/>
          <w:trHeight w:val="431"/>
          <w:tblHeader/>
        </w:trPr>
        <w:tc>
          <w:tcPr>
            <w:tcW w:w="5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37.63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635400" w:rsidRPr="009C5CBB" w:rsidTr="00CF1569">
        <w:trPr>
          <w:cantSplit/>
          <w:trHeight w:val="431"/>
        </w:trPr>
        <w:tc>
          <w:tcPr>
            <w:tcW w:w="5359" w:type="dxa"/>
            <w:shd w:val="clear" w:color="auto" w:fill="auto"/>
            <w:vAlign w:val="center"/>
          </w:tcPr>
          <w:p w:rsidR="00635400" w:rsidRPr="009C5CBB" w:rsidRDefault="00635400" w:rsidP="00CF15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C5CB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635400" w:rsidRPr="009C5CBB" w:rsidRDefault="00635400" w:rsidP="00CF1569">
            <w:pPr>
              <w:jc w:val="right"/>
              <w:rPr>
                <w:szCs w:val="21"/>
              </w:rPr>
            </w:pPr>
            <w:r w:rsidRPr="009C5CBB"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bookmarkEnd w:id="27"/>
    <w:p w:rsidR="00635400" w:rsidRDefault="00635400" w:rsidP="00635400">
      <w:pPr>
        <w:sectPr w:rsidR="0063540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>注：</w:t>
      </w:r>
      <w:bookmarkStart w:id="29" w:name="PO_part1remark7"/>
      <w:r>
        <w:rPr>
          <w:rFonts w:ascii="宋体" w:hAnsi="宋体" w:cs="宋体" w:hint="eastAsia"/>
          <w:color w:val="000000"/>
          <w:kern w:val="0"/>
          <w:sz w:val="18"/>
          <w:szCs w:val="18"/>
          <w:lang w:bidi="ar"/>
        </w:rPr>
        <w:t xml:space="preserve"> 按预算实际编制 </w:t>
      </w:r>
      <w:bookmarkEnd w:id="29"/>
    </w:p>
    <w:p w:rsidR="00635400" w:rsidRDefault="00635400" w:rsidP="00635400">
      <w:pPr>
        <w:rPr>
          <w:rFonts w:hint="eastAsia"/>
        </w:rPr>
      </w:pPr>
      <w:bookmarkStart w:id="30" w:name="PO_part2Table9and10and11"/>
    </w:p>
    <w:bookmarkEnd w:id="30"/>
    <w:p w:rsidR="00635400" w:rsidRDefault="00635400" w:rsidP="00635400">
      <w:pPr>
        <w:tabs>
          <w:tab w:val="center" w:pos="6979"/>
        </w:tabs>
        <w:ind w:firstLineChars="100" w:firstLine="440"/>
        <w:jc w:val="center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 xml:space="preserve">第三部分  </w:t>
      </w:r>
      <w:bookmarkStart w:id="31" w:name="PO_part3Year1"/>
      <w:r>
        <w:rPr>
          <w:rFonts w:ascii="黑体" w:eastAsia="黑体" w:hAnsi="黑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/>
          <w:sz w:val="11"/>
          <w:szCs w:val="11"/>
        </w:rPr>
        <w:t xml:space="preserve"> </w:t>
      </w:r>
      <w:bookmarkEnd w:id="31"/>
      <w:proofErr w:type="gramStart"/>
      <w:r>
        <w:rPr>
          <w:rFonts w:ascii="黑体" w:eastAsia="黑体" w:hAnsi="黑体" w:cs="方正小标宋简体" w:hint="eastAsia"/>
          <w:sz w:val="44"/>
          <w:szCs w:val="44"/>
        </w:rPr>
        <w:t>年部门</w:t>
      </w:r>
      <w:proofErr w:type="gramEnd"/>
      <w:r>
        <w:rPr>
          <w:rFonts w:ascii="黑体" w:eastAsia="黑体" w:hAnsi="黑体" w:cs="方正小标宋简体" w:hint="eastAsia"/>
          <w:sz w:val="44"/>
          <w:szCs w:val="44"/>
        </w:rPr>
        <w:t>预算情况说明</w:t>
      </w:r>
    </w:p>
    <w:p w:rsidR="00635400" w:rsidRDefault="00635400" w:rsidP="00635400">
      <w:pPr>
        <w:numPr>
          <w:ilvl w:val="0"/>
          <w:numId w:val="3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部门预算收支增减变化情况</w:t>
      </w:r>
    </w:p>
    <w:p w:rsidR="00635400" w:rsidRDefault="00635400" w:rsidP="00635400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bookmarkStart w:id="32" w:name="PO_part3A1Year1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32"/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年本部门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收入预算</w:t>
      </w:r>
      <w:bookmarkStart w:id="33" w:name="PO_part3A1Amount1"/>
      <w:r>
        <w:rPr>
          <w:rFonts w:ascii="仿宋_GB2312" w:eastAsia="仿宋_GB2312" w:hAnsi="仿宋_GB2312" w:cs="仿宋_GB2312" w:hint="eastAsia"/>
          <w:sz w:val="30"/>
          <w:szCs w:val="30"/>
        </w:rPr>
        <w:t>30.83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33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34" w:name="PO_part3A1IncAmount1"/>
      <w:r>
        <w:rPr>
          <w:rFonts w:ascii="仿宋_GB2312" w:eastAsia="仿宋_GB2312" w:hAnsi="仿宋_GB2312" w:cs="仿宋_GB2312" w:hint="eastAsia"/>
          <w:sz w:val="30"/>
          <w:szCs w:val="30"/>
        </w:rPr>
        <w:t>增加5.22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34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35" w:name="PO_part3A1IncPercent1"/>
      <w:r>
        <w:rPr>
          <w:rFonts w:ascii="仿宋_GB2312" w:eastAsia="仿宋_GB2312" w:hAnsi="仿宋_GB2312" w:cs="仿宋_GB2312" w:hint="eastAsia"/>
          <w:sz w:val="30"/>
          <w:szCs w:val="30"/>
        </w:rPr>
        <w:t>增长20.38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35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36" w:name="PO_part3A1IncReason1"/>
      <w:r>
        <w:rPr>
          <w:rFonts w:ascii="仿宋_GB2312" w:eastAsia="仿宋_GB2312" w:hAnsi="仿宋_GB2312" w:cs="仿宋_GB2312" w:hint="eastAsia"/>
          <w:sz w:val="30"/>
          <w:szCs w:val="30"/>
        </w:rPr>
        <w:t>人员经费增多</w:t>
      </w:r>
      <w:r>
        <w:rPr>
          <w:rFonts w:ascii="仿宋_GB2312" w:eastAsia="仿宋_GB2312" w:hAnsi="仿宋_GB2312" w:cs="仿宋_GB2312" w:hint="eastAsia"/>
          <w:sz w:val="11"/>
          <w:szCs w:val="11"/>
        </w:rPr>
        <w:t xml:space="preserve"> </w:t>
      </w:r>
      <w:bookmarkEnd w:id="36"/>
      <w:r>
        <w:rPr>
          <w:rFonts w:ascii="仿宋_GB2312" w:eastAsia="仿宋_GB2312" w:hAnsi="仿宋_GB2312" w:cs="仿宋_GB2312" w:hint="eastAsia"/>
          <w:sz w:val="30"/>
          <w:szCs w:val="30"/>
        </w:rPr>
        <w:t>；支出预算</w:t>
      </w:r>
      <w:bookmarkStart w:id="37" w:name="PO_part3A1Amount2"/>
      <w:r>
        <w:rPr>
          <w:rFonts w:ascii="仿宋_GB2312" w:eastAsia="仿宋_GB2312" w:hAnsi="仿宋_GB2312" w:cs="仿宋_GB2312" w:hint="eastAsia"/>
          <w:sz w:val="30"/>
          <w:szCs w:val="30"/>
        </w:rPr>
        <w:t>30.83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37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38" w:name="PO_part3A1IncAmount2"/>
      <w:r>
        <w:rPr>
          <w:rFonts w:ascii="仿宋_GB2312" w:eastAsia="仿宋_GB2312" w:hAnsi="仿宋_GB2312" w:cs="仿宋_GB2312" w:hint="eastAsia"/>
          <w:sz w:val="30"/>
          <w:szCs w:val="30"/>
        </w:rPr>
        <w:t>增加5.22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38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39" w:name="PO_part3A1IncPercent2"/>
      <w:r>
        <w:rPr>
          <w:rFonts w:ascii="仿宋_GB2312" w:eastAsia="仿宋_GB2312" w:hAnsi="仿宋_GB2312" w:cs="仿宋_GB2312" w:hint="eastAsia"/>
          <w:sz w:val="30"/>
          <w:szCs w:val="30"/>
        </w:rPr>
        <w:t>增长20.38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39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40" w:name="PO_part3A1IncReason2"/>
      <w:r>
        <w:rPr>
          <w:rFonts w:ascii="仿宋_GB2312" w:eastAsia="仿宋_GB2312" w:hAnsi="仿宋_GB2312" w:cs="仿宋_GB2312" w:hint="eastAsia"/>
          <w:sz w:val="30"/>
          <w:szCs w:val="30"/>
        </w:rPr>
        <w:t xml:space="preserve">人员经费增多 </w:t>
      </w:r>
      <w:bookmarkEnd w:id="40"/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635400" w:rsidRDefault="00635400" w:rsidP="00635400">
      <w:pPr>
        <w:pStyle w:val="a7"/>
        <w:numPr>
          <w:ilvl w:val="0"/>
          <w:numId w:val="7"/>
        </w:numPr>
        <w:ind w:firstLineChars="0"/>
        <w:rPr>
          <w:rFonts w:ascii="黑体" w:eastAsia="黑体" w:hAnsi="黑体" w:cs="黑体" w:hint="eastAsia"/>
          <w:sz w:val="32"/>
          <w:szCs w:val="32"/>
        </w:rPr>
      </w:pPr>
      <w:r w:rsidRPr="00635400">
        <w:rPr>
          <w:rFonts w:ascii="黑体" w:eastAsia="黑体" w:hAnsi="黑体" w:cs="黑体" w:hint="eastAsia"/>
          <w:sz w:val="32"/>
          <w:szCs w:val="32"/>
        </w:rPr>
        <w:t>“三公”经费安排情况</w:t>
      </w:r>
    </w:p>
    <w:p w:rsidR="00635400" w:rsidRPr="00635400" w:rsidRDefault="00635400" w:rsidP="00635400">
      <w:pPr>
        <w:ind w:left="720"/>
        <w:rPr>
          <w:rFonts w:ascii="仿宋_GB2312" w:eastAsia="仿宋_GB2312" w:hAnsi="仿宋_GB2312" w:cs="仿宋_GB2312" w:hint="eastAsia"/>
          <w:sz w:val="30"/>
          <w:szCs w:val="30"/>
        </w:rPr>
      </w:pPr>
      <w:r w:rsidRPr="00635400">
        <w:rPr>
          <w:rFonts w:ascii="仿宋_GB2312" w:eastAsia="仿宋_GB2312" w:hAnsi="仿宋_GB2312" w:cs="仿宋_GB2312" w:hint="eastAsia"/>
          <w:sz w:val="30"/>
          <w:szCs w:val="30"/>
        </w:rPr>
        <w:t>本单位无“三公”经费支出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635400" w:rsidRPr="00635400" w:rsidRDefault="00635400" w:rsidP="00635400">
      <w:pPr>
        <w:pStyle w:val="a7"/>
        <w:numPr>
          <w:ilvl w:val="0"/>
          <w:numId w:val="7"/>
        </w:numPr>
        <w:ind w:firstLineChars="0"/>
        <w:rPr>
          <w:rFonts w:ascii="黑体" w:eastAsia="黑体" w:hAnsi="黑体" w:cs="黑体" w:hint="eastAsia"/>
          <w:sz w:val="32"/>
          <w:szCs w:val="32"/>
        </w:rPr>
      </w:pPr>
      <w:r w:rsidRPr="00635400">
        <w:rPr>
          <w:rFonts w:ascii="黑体" w:eastAsia="黑体" w:hAnsi="黑体" w:cs="黑体" w:hint="eastAsia"/>
          <w:sz w:val="32"/>
          <w:szCs w:val="32"/>
        </w:rPr>
        <w:t>机关运行经费安排情况</w:t>
      </w:r>
    </w:p>
    <w:p w:rsidR="00635400" w:rsidRDefault="00635400" w:rsidP="00635400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机关运行经费是指用于维持行政（参公）单位机关运行的经费。具体包括办公及印刷费、邮电费、差旅费、会议费、培训费、福利费、日常维修费、专用材料及一般设备购置费、水电费、物业管理费、因公出国（境）经费、公务用车购置及运行维护费、公务接待费以及其他费用等。</w:t>
      </w:r>
      <w:bookmarkStart w:id="41" w:name="PO_part3A3Year1"/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41"/>
      <w:r>
        <w:rPr>
          <w:rFonts w:ascii="仿宋_GB2312" w:eastAsia="仿宋_GB2312" w:hAnsi="仿宋_GB2312" w:cs="仿宋_GB2312" w:hint="eastAsia"/>
          <w:sz w:val="30"/>
          <w:szCs w:val="30"/>
        </w:rPr>
        <w:t>年，本部门机关运行经费安排</w:t>
      </w:r>
      <w:r>
        <w:rPr>
          <w:rFonts w:ascii="仿宋_GB2312" w:eastAsia="仿宋_GB2312" w:hAnsi="仿宋_GB2312" w:cs="仿宋_GB2312" w:hint="eastAsia"/>
          <w:sz w:val="30"/>
          <w:szCs w:val="30"/>
        </w:rPr>
        <w:t>2.6</w:t>
      </w:r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42" w:name="PO_part3A3IncReason1"/>
      <w:r>
        <w:rPr>
          <w:rFonts w:ascii="仿宋_GB2312" w:eastAsia="仿宋_GB2312" w:hAnsi="仿宋_GB2312" w:cs="仿宋_GB2312" w:hint="eastAsia"/>
          <w:sz w:val="30"/>
          <w:szCs w:val="30"/>
        </w:rPr>
        <w:t>与上年持平，无增减。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bookmarkEnd w:id="42"/>
    </w:p>
    <w:p w:rsidR="00635400" w:rsidRPr="00635400" w:rsidRDefault="00635400" w:rsidP="00635400">
      <w:pPr>
        <w:pStyle w:val="a7"/>
        <w:numPr>
          <w:ilvl w:val="0"/>
          <w:numId w:val="7"/>
        </w:numPr>
        <w:ind w:firstLineChars="0"/>
        <w:rPr>
          <w:rFonts w:ascii="黑体" w:eastAsia="黑体" w:hAnsi="黑体" w:cs="黑体" w:hint="eastAsia"/>
          <w:sz w:val="32"/>
          <w:szCs w:val="32"/>
        </w:rPr>
      </w:pPr>
      <w:r w:rsidRPr="00635400">
        <w:rPr>
          <w:rFonts w:ascii="黑体" w:eastAsia="黑体" w:hAnsi="黑体" w:cs="黑体" w:hint="eastAsia"/>
          <w:sz w:val="32"/>
          <w:szCs w:val="32"/>
        </w:rPr>
        <w:t>政府采购情况</w:t>
      </w:r>
    </w:p>
    <w:p w:rsidR="00635400" w:rsidRDefault="00635400" w:rsidP="00635400">
      <w:pPr>
        <w:ind w:firstLine="600"/>
        <w:rPr>
          <w:rFonts w:ascii="仿宋_GB2312" w:eastAsia="仿宋_GB2312" w:hAnsi="仿宋_GB2312" w:cs="仿宋_GB2312" w:hint="eastAsia"/>
          <w:sz w:val="30"/>
          <w:szCs w:val="30"/>
        </w:rPr>
      </w:pPr>
      <w:bookmarkStart w:id="43" w:name="PO_part3A4Year1"/>
      <w:r>
        <w:rPr>
          <w:rFonts w:ascii="仿宋_GB2312" w:eastAsia="仿宋_GB2312" w:hAnsi="仿宋_GB2312" w:cs="仿宋_GB2312" w:hint="eastAsia"/>
          <w:sz w:val="30"/>
          <w:szCs w:val="30"/>
        </w:rPr>
        <w:t>2020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43"/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年本部门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无</w:t>
      </w:r>
      <w:r>
        <w:rPr>
          <w:rFonts w:ascii="仿宋_GB2312" w:eastAsia="仿宋_GB2312" w:hAnsi="仿宋_GB2312" w:cs="仿宋_GB2312" w:hint="eastAsia"/>
          <w:sz w:val="30"/>
          <w:szCs w:val="30"/>
        </w:rPr>
        <w:t>政府采购安排</w:t>
      </w:r>
      <w:bookmarkStart w:id="44" w:name="PO_part3A4Amount1"/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  <w:bookmarkEnd w:id="44"/>
    </w:p>
    <w:p w:rsidR="00FA6355" w:rsidRPr="00635400" w:rsidRDefault="00FA6355">
      <w:bookmarkStart w:id="45" w:name="_GoBack"/>
      <w:bookmarkEnd w:id="45"/>
    </w:p>
    <w:sectPr w:rsidR="00FA6355" w:rsidRPr="00635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D4C"/>
    <w:multiLevelType w:val="hybridMultilevel"/>
    <w:tmpl w:val="24702FE8"/>
    <w:lvl w:ilvl="0" w:tplc="43C444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5F2250"/>
    <w:multiLevelType w:val="singleLevel"/>
    <w:tmpl w:val="5A5F2250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5F2A51"/>
    <w:multiLevelType w:val="singleLevel"/>
    <w:tmpl w:val="5A5F2A51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A600927"/>
    <w:multiLevelType w:val="singleLevel"/>
    <w:tmpl w:val="5A600927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E676B1B"/>
    <w:multiLevelType w:val="singleLevel"/>
    <w:tmpl w:val="5A600927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60740905"/>
    <w:multiLevelType w:val="hybridMultilevel"/>
    <w:tmpl w:val="F3DAA46A"/>
    <w:lvl w:ilvl="0" w:tplc="49E40FC2">
      <w:start w:val="2"/>
      <w:numFmt w:val="japaneseCounting"/>
      <w:lvlText w:val="%1、"/>
      <w:lvlJc w:val="left"/>
      <w:pPr>
        <w:ind w:left="1360" w:hanging="720"/>
      </w:pPr>
      <w:rPr>
        <w:rFonts w:ascii="Calibri" w:eastAsia="宋体" w:hAnsi="Calibri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F987571"/>
    <w:multiLevelType w:val="hybridMultilevel"/>
    <w:tmpl w:val="11B0EE34"/>
    <w:lvl w:ilvl="0" w:tplc="1E2E3F2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00"/>
    <w:rsid w:val="000F7772"/>
    <w:rsid w:val="00146D7E"/>
    <w:rsid w:val="001F71F0"/>
    <w:rsid w:val="00635400"/>
    <w:rsid w:val="006A09E1"/>
    <w:rsid w:val="006B491F"/>
    <w:rsid w:val="007A5ABB"/>
    <w:rsid w:val="0090381B"/>
    <w:rsid w:val="00CB3885"/>
    <w:rsid w:val="00F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35400"/>
    <w:rPr>
      <w:rFonts w:ascii="Calibri" w:eastAsia="宋体" w:hAnsi="Calibri" w:cs="Times New Roman"/>
      <w:sz w:val="18"/>
      <w:szCs w:val="18"/>
    </w:rPr>
  </w:style>
  <w:style w:type="character" w:styleId="a4">
    <w:name w:val="Subtle Reference"/>
    <w:uiPriority w:val="31"/>
    <w:qFormat/>
    <w:rsid w:val="00635400"/>
    <w:rPr>
      <w:smallCaps/>
      <w:color w:val="5A5A5A"/>
    </w:rPr>
  </w:style>
  <w:style w:type="character" w:customStyle="1" w:styleId="Char0">
    <w:name w:val="页脚 Char"/>
    <w:link w:val="a5"/>
    <w:rsid w:val="00635400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rsid w:val="0063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3540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635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35400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6354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35400"/>
    <w:pPr>
      <w:ind w:firstLineChars="200" w:firstLine="420"/>
    </w:pPr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35400"/>
    <w:rPr>
      <w:rFonts w:ascii="Calibri" w:eastAsia="宋体" w:hAnsi="Calibri" w:cs="Times New Roman"/>
      <w:sz w:val="18"/>
      <w:szCs w:val="18"/>
    </w:rPr>
  </w:style>
  <w:style w:type="character" w:styleId="a4">
    <w:name w:val="Subtle Reference"/>
    <w:uiPriority w:val="31"/>
    <w:qFormat/>
    <w:rsid w:val="00635400"/>
    <w:rPr>
      <w:smallCaps/>
      <w:color w:val="5A5A5A"/>
    </w:rPr>
  </w:style>
  <w:style w:type="character" w:customStyle="1" w:styleId="Char0">
    <w:name w:val="页脚 Char"/>
    <w:link w:val="a5"/>
    <w:rsid w:val="00635400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rsid w:val="0063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3540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635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35400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6354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35400"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892</Words>
  <Characters>5088</Characters>
  <Application>Microsoft Office Word</Application>
  <DocSecurity>0</DocSecurity>
  <Lines>42</Lines>
  <Paragraphs>11</Paragraphs>
  <ScaleCrop>false</ScaleCrop>
  <Company>MS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伍敏怡</dc:creator>
  <cp:lastModifiedBy>伍敏怡</cp:lastModifiedBy>
  <cp:revision>2</cp:revision>
  <dcterms:created xsi:type="dcterms:W3CDTF">2020-02-19T07:19:00Z</dcterms:created>
  <dcterms:modified xsi:type="dcterms:W3CDTF">2020-02-19T07:23:00Z</dcterms:modified>
</cp:coreProperties>
</file>