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eastAsia="方正小标宋_GBK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恩平市住建局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年政务公开工作要点分工方案</w:t>
      </w:r>
    </w:p>
    <w:tbl>
      <w:tblPr>
        <w:tblStyle w:val="8"/>
        <w:tblpPr w:leftFromText="180" w:rightFromText="180" w:vertAnchor="text" w:horzAnchor="page" w:tblpX="1783" w:tblpY="679"/>
        <w:tblOverlap w:val="never"/>
        <w:tblW w:w="13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8707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工作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任务</w:t>
            </w:r>
          </w:p>
        </w:tc>
        <w:tc>
          <w:tcPr>
            <w:tcW w:w="87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具体要求</w:t>
            </w: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责任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27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一、深入解读重要政策措施</w:t>
            </w:r>
          </w:p>
        </w:tc>
        <w:tc>
          <w:tcPr>
            <w:tcW w:w="8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（一）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根据《关于印发恩平市政府系统政策解读工作细则（试行）的通知》（恩府办〔2019〕45 号）要求，按照“谁起草、谁解读”原则，切实做到政策文件与解读方案同步组织、同步审签、同步部署。解读材料应准确详尽、突出重点；解读图例需简明扼要、通俗易懂。</w:t>
            </w:r>
          </w:p>
        </w:tc>
        <w:tc>
          <w:tcPr>
            <w:tcW w:w="24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  <w:t>房监股、建监股、城乡股、人防股等相关股室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（二）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政策性文件要与解读方案、解读材料同步组织、同步审签、同步部署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规范性文件网上公布后3个工作日内，解读材料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要进行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关联公开。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pacing w:val="-11"/>
                <w:sz w:val="24"/>
                <w:szCs w:val="24"/>
                <w:lang w:val="en-US" w:eastAsia="zh-CN" w:bidi="ar"/>
              </w:rPr>
              <w:t>（三）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lang w:val="en-US" w:eastAsia="zh-CN" w:bidi="ar"/>
              </w:rPr>
              <w:t>围绕2019年</w:t>
            </w:r>
            <w:r>
              <w:rPr>
                <w:rFonts w:hint="eastAsia" w:eastAsia="仿宋_GB2312" w:cs="Times New Roman"/>
                <w:color w:val="auto"/>
                <w:spacing w:val="-11"/>
                <w:sz w:val="24"/>
                <w:szCs w:val="24"/>
                <w:lang w:val="en-US" w:eastAsia="zh-CN" w:bidi="ar"/>
              </w:rPr>
              <w:t>住建工作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lang w:val="en-US" w:eastAsia="zh-CN" w:bidi="ar"/>
              </w:rPr>
              <w:t>重点任务，全面、精准做好重要政策措施解读工作。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 w:cs="Times New Roman"/>
                <w:color w:val="auto"/>
                <w:spacing w:val="-11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spacing w:val="-11"/>
                <w:sz w:val="24"/>
                <w:szCs w:val="24"/>
                <w:lang w:val="en-US" w:eastAsia="zh-CN" w:bidi="ar"/>
              </w:rPr>
              <w:t>（四）充分发挥政府公报、政府网站等权威渠道和政务新媒体等社交平台，开展形式多样的政策解读。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27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eastAsia="zh-CN" w:bidi="ar"/>
              </w:rPr>
              <w:t>二、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bidi="ar"/>
              </w:rPr>
              <w:t>积极回应社会关切</w:t>
            </w:r>
          </w:p>
        </w:tc>
        <w:tc>
          <w:tcPr>
            <w:tcW w:w="870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（五）对重要改革措施和涉及群众切身利益、容易引起社会关注的政策文件，牵头起草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股室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要认真做好舆情风险评估研判，制定应对处置预案。</w:t>
            </w:r>
          </w:p>
        </w:tc>
        <w:tc>
          <w:tcPr>
            <w:tcW w:w="24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  <w:t>、房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  <w:t>监股、建监股、城乡股、人防股等相关股室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870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（六）进一步强化舆情回应意识，坚持将政务舆情回应作为网络舆情处置工作的重要环节，落实政务舆情回应的主体责任。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279" w:type="dxa"/>
            <w:vMerge w:val="continue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pacing w:val="-4"/>
                <w:sz w:val="24"/>
                <w:szCs w:val="24"/>
                <w:lang w:bidi="ar"/>
              </w:rPr>
            </w:pPr>
          </w:p>
        </w:tc>
        <w:tc>
          <w:tcPr>
            <w:tcW w:w="870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color w:val="auto"/>
                <w:spacing w:val="-4"/>
                <w:sz w:val="24"/>
                <w:szCs w:val="24"/>
                <w:lang w:val="en-US" w:eastAsia="zh-CN" w:bidi="ar"/>
              </w:rPr>
              <w:t>（七）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围绕房地产市场等经济社会热点，以及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拖欠工人工资、施工安全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堵点痛点，加强舆情监测、研判、回应，及时解疑释惑，化解矛盾。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279" w:type="dxa"/>
            <w:vMerge w:val="continue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07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（八）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要主动与宣传、网信等相关部门联系沟通，完善重大政务舆情信息共享、协同联动、快速反应机制。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9" w:type="dxa"/>
            <w:vMerge w:val="continue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07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（九）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认真办理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省府办公厅（政务信息处）、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市府办公室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转来有关舆情处置通知及网民给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、市长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留言。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三、增强解读回应效果</w:t>
            </w:r>
          </w:p>
        </w:tc>
        <w:tc>
          <w:tcPr>
            <w:tcW w:w="8707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（十）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对群众关切和社会热点，要主动快速引导、释放权威信号、正面回应疑虑，推动解决实际问题，赢得群众理解和支持。</w:t>
            </w:r>
          </w:p>
        </w:tc>
        <w:tc>
          <w:tcPr>
            <w:tcW w:w="24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7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eastAsia="zh-CN" w:bidi="ar"/>
              </w:rPr>
              <w:t>四、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bidi="ar"/>
              </w:rPr>
              <w:t>推进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重要决策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bidi="ar"/>
              </w:rPr>
              <w:t>公开</w:t>
            </w:r>
          </w:p>
        </w:tc>
        <w:tc>
          <w:tcPr>
            <w:tcW w:w="8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（十一）贯彻落实《转发江门市人民政府重大行政决策程序规定（试行）的通知》（恩府办〔2014〕79号）等有关文件规定，进一步做好决策公开工作。</w:t>
            </w:r>
          </w:p>
        </w:tc>
        <w:tc>
          <w:tcPr>
            <w:tcW w:w="24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  <w:t>各行政股室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27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8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（十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）加强与市场的沟通，建立健全企业家参与涉企政策制定机制，主动向有代表性的企业和行业协会商会以及律师协会问计求策，使各项政策符合客观实际，更接地气、更合民意。</w:t>
            </w:r>
          </w:p>
        </w:tc>
        <w:tc>
          <w:tcPr>
            <w:tcW w:w="24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  <w:t>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  <w:t>监股、建监股、人防股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7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8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（十三）</w:t>
            </w:r>
            <w:r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  <w:t>进一步推进重大决策预公开，涉及公共利益和公众权益的重大事项，除依法应当保密的外，要主动向社会公布决策草案、决策依据等，通过听证座谈、网络征集、咨询协商、媒体沟通等多种形式，广泛听取意见。采取网上征求意见形式的，要在征集结束后1个月内公开反馈结果。</w:t>
            </w:r>
          </w:p>
        </w:tc>
        <w:tc>
          <w:tcPr>
            <w:tcW w:w="24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  <w:t>各行政股室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7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8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（十四）围绕2019年市政府工作任务，做好保障性住房政策措施的执行和落实情况公开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24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  <w:t>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  <w:t>监股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2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eastAsia="zh-CN" w:bidi="ar"/>
              </w:rPr>
              <w:t>五、推进重要部署执行公开</w:t>
            </w:r>
          </w:p>
        </w:tc>
        <w:tc>
          <w:tcPr>
            <w:tcW w:w="8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（十五）在重大行政决策执行过程中，要跟踪决策的实施情况，了解利益相关方和公众对决策实施的意见和建议，积极开展决策执行效果评估，及时调整完善，并将相关情况向社会公开。</w:t>
            </w:r>
          </w:p>
        </w:tc>
        <w:tc>
          <w:tcPr>
            <w:tcW w:w="24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  <w:t>各行政股室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eastAsia="zh-CN" w:bidi="ar"/>
              </w:rPr>
              <w:t>六、推进行政执法信息公开</w:t>
            </w:r>
          </w:p>
        </w:tc>
        <w:tc>
          <w:tcPr>
            <w:tcW w:w="8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（十六）按照“谁执法谁公示”原则，严格落实行政执法公示制度，规范行政执法行为。</w:t>
            </w:r>
          </w:p>
        </w:tc>
        <w:tc>
          <w:tcPr>
            <w:tcW w:w="247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  <w:t>办公室、房监股、建监股、人防股、服务组、执法办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7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8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（十七）统一在省行政执法信息公示平台，集中向社会公开行政执法职责、执法依据、执法程序、监督途径和执法结果等信息。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7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8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（十八）探索建立群众意见反馈互动机制，强化行政执法社会监督。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eastAsia="zh-CN" w:bidi="ar"/>
              </w:rPr>
              <w:t>七、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bidi="ar"/>
              </w:rPr>
              <w:t>加强三大攻坚战信息公开</w:t>
            </w:r>
          </w:p>
        </w:tc>
        <w:tc>
          <w:tcPr>
            <w:tcW w:w="8707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（十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九</w:t>
            </w:r>
            <w:r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做好建筑工地扬尘防治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、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 w:bidi="ar"/>
              </w:rPr>
              <w:t>污水处理设施建设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、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农村生活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垃圾分类处置等方面，做好生态环境信息公开。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  <w:t>建监股、城乡股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7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eastAsia="zh-CN" w:bidi="ar"/>
              </w:rPr>
              <w:t>八、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bidi="ar"/>
              </w:rPr>
              <w:t>深化“放管服”改革信息公开</w:t>
            </w:r>
          </w:p>
        </w:tc>
        <w:tc>
          <w:tcPr>
            <w:tcW w:w="8707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二十</w:t>
            </w:r>
            <w:r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bidi="ar"/>
              </w:rPr>
              <w:t>好工程建设项目审批制度改革、优化行政许可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u w:val="none"/>
                <w:lang w:val="en-US" w:eastAsia="zh-CN" w:bidi="ar"/>
              </w:rPr>
              <w:t>审批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bidi="ar"/>
              </w:rPr>
              <w:t>流程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u w:val="none"/>
                <w:lang w:eastAsia="zh-CN" w:bidi="ar"/>
              </w:rPr>
              <w:t>、压缩审批时间、完善办事指南等方面信息公开工作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bidi="ar"/>
              </w:rPr>
              <w:t>。</w:t>
            </w:r>
          </w:p>
        </w:tc>
        <w:tc>
          <w:tcPr>
            <w:tcW w:w="24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  <w:t>办公室、建监股、人防股、服务组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279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九、强化重点领域信息公开</w:t>
            </w:r>
          </w:p>
        </w:tc>
        <w:tc>
          <w:tcPr>
            <w:tcW w:w="8707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（二十一）做好住房保障信息公开工作。</w:t>
            </w:r>
          </w:p>
        </w:tc>
        <w:tc>
          <w:tcPr>
            <w:tcW w:w="24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  <w:t>房监股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27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707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（二十二）持续深化细化部门财政预决算公开</w:t>
            </w:r>
          </w:p>
        </w:tc>
        <w:tc>
          <w:tcPr>
            <w:tcW w:w="24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  <w:t>财会室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279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eastAsia="zh-CN" w:bidi="ar"/>
              </w:rPr>
              <w:t>十、推进政府网站优质规范发展</w:t>
            </w:r>
          </w:p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8707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（二十三）严格落实网络意识形态责任制，加强政府网站内容建设和信息发布审核，把好政治关、政策关、文字关。</w:t>
            </w:r>
          </w:p>
        </w:tc>
        <w:tc>
          <w:tcPr>
            <w:tcW w:w="24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7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8707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（二十四）配合省政府办公厅按时按质做好政府网站集约化平台迁移和省、江门市、我市三级政府网站联通工作。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27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4"/>
                <w:lang w:eastAsia="zh-CN"/>
              </w:rPr>
              <w:t>十一、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4"/>
              </w:rPr>
              <w:t>加快办事大厅线上线下融合发展</w:t>
            </w:r>
          </w:p>
        </w:tc>
        <w:tc>
          <w:tcPr>
            <w:tcW w:w="8707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（二十五）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梳理编制并公开进驻办事大厅的审批服务事项、办事指南、办事流程等。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  <w:t>房监股、建监股、人防股、服务组、住维中心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9" w:type="dxa"/>
            <w:vMerge w:val="restart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 w:bidi="ar"/>
              </w:rPr>
              <w:t>十二、强化组织领导</w:t>
            </w:r>
          </w:p>
        </w:tc>
        <w:tc>
          <w:tcPr>
            <w:tcW w:w="8707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（二十六）进一步完善政务公开工作领导小组，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部门主要负责人年内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听取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政务公开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情况汇报，研究解决重大问题。</w:t>
            </w:r>
          </w:p>
        </w:tc>
        <w:tc>
          <w:tcPr>
            <w:tcW w:w="24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79" w:type="dxa"/>
            <w:vMerge w:val="continue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8707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（二十七）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根据政务公开新任务新要求新职责，加强政务公开机构建设、专职人员配备和经费保障。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79" w:type="dxa"/>
            <w:vMerge w:val="restart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 w:bidi="ar"/>
              </w:rPr>
              <w:t>十三、抓好政府信息公开条例的贯彻落实</w:t>
            </w:r>
          </w:p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8707" w:type="dxa"/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280" w:lineRule="exact"/>
              <w:jc w:val="both"/>
              <w:outlineLvl w:val="3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（二十八）加大政府信息公开力度，既要在公开数量上有所提升，更要在公开质量上有所优化。</w:t>
            </w:r>
          </w:p>
        </w:tc>
        <w:tc>
          <w:tcPr>
            <w:tcW w:w="24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  <w:t>办公室牵头，有关股室配合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27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8707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（二十</w:t>
            </w:r>
            <w:r>
              <w:rPr>
                <w:rFonts w:hint="eastAsia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九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做好新条例实施后的依申请公开工作，保障公众依法行使知情权、参与权、表达权、监督权。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27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8707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三十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及时修订完善政府信息公开指南和政府信息公开相关配套措施。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79" w:type="dxa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十四、加强相关基础工作</w:t>
            </w:r>
          </w:p>
        </w:tc>
        <w:tc>
          <w:tcPr>
            <w:tcW w:w="8707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三十一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依法公开本机关的“三定”规定等信息。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val="en-US" w:eastAsia="zh-CN" w:bidi="ar"/>
              </w:rPr>
              <w:t>办公室</w:t>
            </w:r>
          </w:p>
        </w:tc>
      </w:tr>
    </w:tbl>
    <w:p>
      <w:pPr>
        <w:spacing w:line="300" w:lineRule="exact"/>
        <w:ind w:firstLine="720" w:firstLineChars="300"/>
      </w:pPr>
      <w:r>
        <w:rPr>
          <w:rFonts w:hint="eastAsia" w:ascii="Times New Roman" w:hAnsi="Times New Roman" w:eastAsia="仿宋_GB2312" w:cs="Times New Roman"/>
          <w:b w:val="0"/>
          <w:kern w:val="2"/>
          <w:sz w:val="24"/>
          <w:szCs w:val="24"/>
          <w:lang w:val="en-US" w:eastAsia="zh-CN" w:bidi="ar"/>
        </w:rPr>
        <w:t>注：</w:t>
      </w:r>
      <w:r>
        <w:rPr>
          <w:rFonts w:hint="eastAsia" w:eastAsia="仿宋_GB2312" w:cs="Times New Roman"/>
          <w:b w:val="0"/>
          <w:kern w:val="2"/>
          <w:sz w:val="24"/>
          <w:szCs w:val="24"/>
          <w:lang w:val="en-US" w:eastAsia="zh-CN" w:bidi="ar"/>
        </w:rPr>
        <w:t>各股室（中心）政务公开内容经分局领导签批同意后交由局办公室发布。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9794A"/>
    <w:rsid w:val="00D82612"/>
    <w:rsid w:val="0C9E5899"/>
    <w:rsid w:val="115642FC"/>
    <w:rsid w:val="139B7D80"/>
    <w:rsid w:val="15206A77"/>
    <w:rsid w:val="1703170E"/>
    <w:rsid w:val="178A7823"/>
    <w:rsid w:val="18A858FC"/>
    <w:rsid w:val="19807F4D"/>
    <w:rsid w:val="1FD37853"/>
    <w:rsid w:val="22C1185D"/>
    <w:rsid w:val="274A4952"/>
    <w:rsid w:val="2CEC38F0"/>
    <w:rsid w:val="2EAE63E6"/>
    <w:rsid w:val="3209794A"/>
    <w:rsid w:val="32A47A38"/>
    <w:rsid w:val="32FB0B49"/>
    <w:rsid w:val="396E2092"/>
    <w:rsid w:val="3A297FED"/>
    <w:rsid w:val="3AD76EE5"/>
    <w:rsid w:val="3AF564B8"/>
    <w:rsid w:val="3E284563"/>
    <w:rsid w:val="3E4834D4"/>
    <w:rsid w:val="48C27DE1"/>
    <w:rsid w:val="52454B9B"/>
    <w:rsid w:val="526C7A4C"/>
    <w:rsid w:val="596602F0"/>
    <w:rsid w:val="5E833582"/>
    <w:rsid w:val="608C01BE"/>
    <w:rsid w:val="63DD11A5"/>
    <w:rsid w:val="660E2FE9"/>
    <w:rsid w:val="66DD796E"/>
    <w:rsid w:val="6990528E"/>
    <w:rsid w:val="6BFA0B59"/>
    <w:rsid w:val="6C1877B9"/>
    <w:rsid w:val="6DA50329"/>
    <w:rsid w:val="7288724B"/>
    <w:rsid w:val="7600627E"/>
    <w:rsid w:val="78157977"/>
    <w:rsid w:val="7A0A3CA8"/>
    <w:rsid w:val="7C1D27A2"/>
    <w:rsid w:val="7F28771D"/>
    <w:rsid w:val="7FC13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center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spacing w:before="100" w:beforeLines="0" w:beforeAutospacing="1" w:after="100" w:afterLines="0" w:afterAutospacing="1"/>
      <w:jc w:val="left"/>
      <w:outlineLvl w:val="3"/>
    </w:pPr>
    <w:rPr>
      <w:rFonts w:hint="eastAsia" w:ascii="宋体" w:hAnsi="宋体" w:eastAsia="宋体"/>
      <w:b/>
      <w:kern w:val="0"/>
      <w:sz w:val="24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color w:val="9D9D9D"/>
      <w:kern w:val="0"/>
      <w:sz w:val="21"/>
      <w:szCs w:val="21"/>
      <w:u w:val="none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县住建局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2019-09-17T13:41:00Z</dcterms:created>
  <dc:creator>Administrator</dc:creator>
  <cp:lastModifiedBy>Administrator</cp:lastModifiedBy>
  <dcterms:modified xsi:type="dcterms:W3CDTF">2019-11-06T07:41:46Z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